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6.svg" ContentType="image/svg+xml"/>
  <Override PartName="/word/media/image18.svg" ContentType="image/svg+xml"/>
  <Override PartName="/word/media/image2.svg" ContentType="image/svg+xml"/>
  <Override PartName="/word/media/image34.svg" ContentType="image/svg+xml"/>
  <Override PartName="/word/media/image36.svg" ContentType="image/svg+xml"/>
  <Override PartName="/word/media/image39.svg" ContentType="image/svg+xml"/>
  <Override PartName="/word/media/image41.svg" ContentType="image/svg+xml"/>
  <Override PartName="/word/media/image43.svg" ContentType="image/svg+xml"/>
  <Override PartName="/word/media/image45.svg" ContentType="image/svg+xml"/>
  <Override PartName="/word/media/image47.svg" ContentType="image/svg+xml"/>
  <Override PartName="/word/media/image49.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cs="Times New Roman"/>
        </w:rPr>
        <w:id w:val="4844945"/>
        <w:docPartObj>
          <w:docPartGallery w:val="autotext"/>
        </w:docPartObj>
      </w:sdtPr>
      <w:sdtEndPr>
        <w:rPr>
          <w:rFonts w:hint="default" w:ascii="Times New Roman" w:hAnsi="Times New Roman" w:cs="Times New Roman" w:eastAsiaTheme="minorHAnsi"/>
          <w:b w:val="0"/>
          <w:bCs w:val="0"/>
          <w:color w:val="FFFFFF"/>
          <w:sz w:val="24"/>
          <w:szCs w:val="24"/>
        </w:rPr>
      </w:sdtEndPr>
      <w:sdtContent>
        <w:p>
          <w:pPr>
            <w:shd w:val="clear"/>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-1151890</wp:posOffset>
                    </wp:positionH>
                    <wp:positionV relativeFrom="paragraph">
                      <wp:posOffset>8714740</wp:posOffset>
                    </wp:positionV>
                    <wp:extent cx="7559675" cy="398145"/>
                    <wp:effectExtent l="0" t="0" r="0" b="0"/>
                    <wp:wrapNone/>
                    <wp:docPr id="170" name="文本框 76"/>
                    <wp:cNvGraphicFramePr/>
                    <a:graphic xmlns:a="http://schemas.openxmlformats.org/drawingml/2006/main">
                      <a:graphicData uri="http://schemas.microsoft.com/office/word/2010/wordprocessingShape">
                        <wps:wsp>
                          <wps:cNvSpPr txBox="1"/>
                          <wps:spPr>
                            <a:xfrm>
                              <a:off x="-66040" y="9162415"/>
                              <a:ext cx="7559675" cy="398145"/>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ind w:firstLine="0"/>
                                  <w:jc w:val="center"/>
                                  <w:textAlignment w:val="auto"/>
                                  <w:rPr>
                                    <w:b/>
                                    <w:color w:val="FFFFFF" w:themeColor="background1"/>
                                    <w:sz w:val="28"/>
                                    <w:szCs w:val="28"/>
                                    <w14:textFill>
                                      <w14:solidFill>
                                        <w14:schemeClr w14:val="bg1"/>
                                      </w14:solidFill>
                                    </w14:textFill>
                                  </w:rPr>
                                </w:pPr>
                                <w:r>
                                  <w:rPr>
                                    <w:rFonts w:hint="eastAsia"/>
                                    <w:b/>
                                    <w:color w:val="FFFFFF" w:themeColor="background1"/>
                                    <w:sz w:val="28"/>
                                    <w:szCs w:val="28"/>
                                    <w:lang w:val="en-US" w:eastAsia="zh-CN"/>
                                    <w14:textFill>
                                      <w14:solidFill>
                                        <w14:schemeClr w14:val="bg1"/>
                                      </w14:solidFill>
                                    </w14:textFill>
                                  </w:rPr>
                                  <w:t xml:space="preserve">晋中学院 </w:t>
                                </w:r>
                                <w:r>
                                  <w:rPr>
                                    <w:rFonts w:hint="eastAsia"/>
                                    <w:b/>
                                    <w:color w:val="FFFFFF" w:themeColor="background1"/>
                                    <w:sz w:val="28"/>
                                    <w:szCs w:val="28"/>
                                    <w14:textFill>
                                      <w14:solidFill>
                                        <w14:schemeClr w14:val="bg1"/>
                                      </w14:solidFill>
                                    </w14:textFill>
                                  </w:rPr>
                                  <w:t xml:space="preserve"> 编</w:t>
                                </w:r>
                              </w:p>
                              <w:p>
                                <w:pPr>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6" o:spid="_x0000_s1026" o:spt="202" type="#_x0000_t202" style="position:absolute;left:0pt;margin-left:-90.7pt;margin-top:686.2pt;height:31.35pt;width:595.25pt;z-index:251661312;mso-width-relative:page;mso-height-relative:page;" filled="f" stroked="f" coordsize="21600,21600" o:gfxdata="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kcqlfeAAAA&#10;DwEAAA8AAAAAAAAAAQAgAAAAIgAAAGRycy9kb3ducmV2LnhtbFBLAQIUABQAAAAIAIdO4kD1NiCZ&#10;UAIAAIIEAAAOAAAAAAAAAAEAIAAAAC0BAABkcnMvZTJvRG9jLnhtbFBLBQYAAAAABgAGAFkBAADv&#10;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jc w:val="center"/>
                            <w:textAlignment w:val="auto"/>
                            <w:rPr>
                              <w:b/>
                              <w:color w:val="FFFFFF" w:themeColor="background1"/>
                              <w:sz w:val="28"/>
                              <w:szCs w:val="28"/>
                              <w14:textFill>
                                <w14:solidFill>
                                  <w14:schemeClr w14:val="bg1"/>
                                </w14:solidFill>
                              </w14:textFill>
                            </w:rPr>
                          </w:pPr>
                          <w:r>
                            <w:rPr>
                              <w:rFonts w:hint="eastAsia"/>
                              <w:b/>
                              <w:color w:val="FFFFFF" w:themeColor="background1"/>
                              <w:sz w:val="28"/>
                              <w:szCs w:val="28"/>
                              <w:lang w:val="en-US" w:eastAsia="zh-CN"/>
                              <w14:textFill>
                                <w14:solidFill>
                                  <w14:schemeClr w14:val="bg1"/>
                                </w14:solidFill>
                              </w14:textFill>
                            </w:rPr>
                            <w:t xml:space="preserve">晋中学院 </w:t>
                          </w:r>
                          <w:r>
                            <w:rPr>
                              <w:rFonts w:hint="eastAsia"/>
                              <w:b/>
                              <w:color w:val="FFFFFF" w:themeColor="background1"/>
                              <w:sz w:val="28"/>
                              <w:szCs w:val="28"/>
                              <w14:textFill>
                                <w14:solidFill>
                                  <w14:schemeClr w14:val="bg1"/>
                                </w14:solidFill>
                              </w14:textFill>
                            </w:rPr>
                            <w:t xml:space="preserve"> 编</w:t>
                          </w:r>
                        </w:p>
                        <w:p>
                          <w:pPr>
                            <w:ind w:firstLine="480"/>
                          </w:pPr>
                        </w:p>
                      </w:txbxContent>
                    </v:textbox>
                  </v:shape>
                </w:pict>
              </mc:Fallback>
            </mc:AlternateContent>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-1223645</wp:posOffset>
                </wp:positionH>
                <wp:positionV relativeFrom="paragraph">
                  <wp:posOffset>-984250</wp:posOffset>
                </wp:positionV>
                <wp:extent cx="7731125" cy="10789285"/>
                <wp:effectExtent l="0" t="0" r="3175" b="12065"/>
                <wp:wrapNone/>
                <wp:docPr id="168" name="图片 1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1"/>
                        <pic:cNvPicPr>
                          <a:picLocks noChangeAspect="1"/>
                        </pic:cNvPicPr>
                      </pic:nvPicPr>
                      <pic:blipFill>
                        <a:blip r:embed="rId18"/>
                        <a:srcRect l="49490"/>
                        <a:stretch>
                          <a:fillRect/>
                        </a:stretch>
                      </pic:blipFill>
                      <pic:spPr>
                        <a:xfrm>
                          <a:off x="0" y="0"/>
                          <a:ext cx="7731125" cy="10789285"/>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75648" behindDoc="0" locked="0" layoutInCell="1" allowOverlap="1">
                <wp:simplePos x="0" y="0"/>
                <wp:positionH relativeFrom="column">
                  <wp:posOffset>4131945</wp:posOffset>
                </wp:positionH>
                <wp:positionV relativeFrom="paragraph">
                  <wp:posOffset>-366395</wp:posOffset>
                </wp:positionV>
                <wp:extent cx="1845945" cy="1903095"/>
                <wp:effectExtent l="0" t="0" r="0" b="0"/>
                <wp:wrapNone/>
                <wp:docPr id="55" name="图片 55" desc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00"/>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a:off x="0" y="0"/>
                          <a:ext cx="1845945" cy="1903095"/>
                        </a:xfrm>
                        <a:prstGeom prst="rect">
                          <a:avLst/>
                        </a:prstGeom>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-285115</wp:posOffset>
                    </wp:positionH>
                    <wp:positionV relativeFrom="paragraph">
                      <wp:posOffset>4228465</wp:posOffset>
                    </wp:positionV>
                    <wp:extent cx="5821680" cy="0"/>
                    <wp:effectExtent l="0" t="4445" r="0" b="5080"/>
                    <wp:wrapNone/>
                    <wp:docPr id="6" name="直接连接符 107"/>
                    <wp:cNvGraphicFramePr/>
                    <a:graphic xmlns:a="http://schemas.openxmlformats.org/drawingml/2006/main">
                      <a:graphicData uri="http://schemas.microsoft.com/office/word/2010/wordprocessingShape">
                        <wps:wsp>
                          <wps:cNvCnPr/>
                          <wps:spPr>
                            <a:xfrm>
                              <a:off x="857885" y="5142865"/>
                              <a:ext cx="5821680" cy="0"/>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直接连接符 107" o:spid="_x0000_s1026" o:spt="20" style="position:absolute;left:0pt;margin-left:-22.45pt;margin-top:332.95pt;height:0pt;width:458.4pt;z-index:251662336;mso-width-relative:page;mso-height-relative:page;" filled="f" stroked="t" coordsize="21600,21600" o:gfxdata="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v4fm2AAAAAsBAAAPAAAAAAAAAAEAIAAA&#10;ACIAAABkcnMvZG93bnJldi54bWxQSwECFAAUAAAACACHTuJAlhbIvgwCAADuAwAADgAAAAAAAAAB&#10;ACAAAAAnAQAAZHJzL2Uyb0RvYy54bWxQSwUGAAAAAAYABgBZAQAApQUAAAAA&#10;">
                    <v:fill on="f" focussize="0,0"/>
                    <v:stroke color="#457BBA" joinstyle="round"/>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-285115</wp:posOffset>
                    </wp:positionH>
                    <wp:positionV relativeFrom="paragraph">
                      <wp:posOffset>4266565</wp:posOffset>
                    </wp:positionV>
                    <wp:extent cx="5821680" cy="0"/>
                    <wp:effectExtent l="0" t="4445" r="0" b="5080"/>
                    <wp:wrapNone/>
                    <wp:docPr id="80" name="直接连接符 108"/>
                    <wp:cNvGraphicFramePr/>
                    <a:graphic xmlns:a="http://schemas.openxmlformats.org/drawingml/2006/main">
                      <a:graphicData uri="http://schemas.microsoft.com/office/word/2010/wordprocessingShape">
                        <wps:wsp>
                          <wps:cNvCnPr/>
                          <wps:spPr>
                            <a:xfrm>
                              <a:off x="857885" y="5180965"/>
                              <a:ext cx="5821680" cy="0"/>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直接连接符 108" o:spid="_x0000_s1026" o:spt="20" style="position:absolute;left:0pt;margin-left:-22.45pt;margin-top:335.95pt;height:0pt;width:458.4pt;z-index:251662336;mso-width-relative:page;mso-height-relative:page;" filled="f" stroked="t" coordsize="21600,21600" o:gfxdata="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SGJItcAAAALAQAADwAAAAAAAAABACAAAAAi&#10;AAAAZHJzL2Rvd25yZXYueG1sUEsBAhQAFAAAAAgAh07iQPlXiQMLAgAA7wMAAA4AAAAAAAAAAQAg&#10;AAAAJgEAAGRycy9lMm9Eb2MueG1sUEsFBgAAAAAGAAYAWQEAAKMFAAAAAA==&#10;">
                    <v:fill on="f" focussize="0,0"/>
                    <v:stroke color="#457BBA" joinstyle="round"/>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-320675</wp:posOffset>
                    </wp:positionH>
                    <wp:positionV relativeFrom="paragraph">
                      <wp:posOffset>1805305</wp:posOffset>
                    </wp:positionV>
                    <wp:extent cx="2416810" cy="733425"/>
                    <wp:effectExtent l="0" t="0" r="2540" b="9525"/>
                    <wp:wrapNone/>
                    <wp:docPr id="1" name="矩形 75"/>
                    <wp:cNvGraphicFramePr/>
                    <a:graphic xmlns:a="http://schemas.openxmlformats.org/drawingml/2006/main">
                      <a:graphicData uri="http://schemas.microsoft.com/office/word/2010/wordprocessingShape">
                        <wps:wsp>
                          <wps:cNvSpPr/>
                          <wps:spPr>
                            <a:xfrm>
                              <a:off x="822325" y="2719705"/>
                              <a:ext cx="2416810" cy="733425"/>
                            </a:xfrm>
                            <a:prstGeom prst="rect">
                              <a:avLst/>
                            </a:prstGeom>
                            <a:solidFill>
                              <a:srgbClr val="5497C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5" o:spid="_x0000_s1026" o:spt="1" style="position:absolute;left:0pt;margin-left:-25.25pt;margin-top:142.15pt;height:57.75pt;width:190.3pt;z-index:251661312;v-text-anchor:middle;mso-width-relative:page;mso-height-relative:page;" fillcolor="#5497CB" filled="t" stroked="f" coordsize="21600,21600" o:gfxdata="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lSWqdkAAAALAQAADwAAAAAAAAABACAAAAAiAAAAZHJzL2Rv&#10;d25yZXYueG1sUEsBAhQAFAAAAAgAh07iQA6ItPdyAgAAzgQAAA4AAAAAAAAAAQAgAAAAKAEAAGRy&#10;cy9lMm9Eb2MueG1sUEsFBgAAAAAGAAYAWQEAAAwGAAAAAA==&#10;">
                    <v:fill on="t" focussize="0,0"/>
                    <v:stroke on="f" weight="2pt"/>
                    <v:imagedata o:title=""/>
                    <o:lock v:ext="edit" aspectratio="f"/>
                  </v:rect>
                </w:pict>
              </mc:Fallback>
            </mc:AlternateContent>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-386715</wp:posOffset>
                    </wp:positionH>
                    <wp:positionV relativeFrom="paragraph">
                      <wp:posOffset>1833880</wp:posOffset>
                    </wp:positionV>
                    <wp:extent cx="2465070" cy="657225"/>
                    <wp:effectExtent l="0" t="0" r="0" b="0"/>
                    <wp:wrapNone/>
                    <wp:docPr id="169" name="文本框 169"/>
                    <wp:cNvGraphicFramePr/>
                    <a:graphic xmlns:a="http://schemas.openxmlformats.org/drawingml/2006/main">
                      <a:graphicData uri="http://schemas.microsoft.com/office/word/2010/wordprocessingShape">
                        <wps:wsp>
                          <wps:cNvSpPr txBox="1"/>
                          <wps:spPr>
                            <a:xfrm>
                              <a:off x="756285" y="2748280"/>
                              <a:ext cx="2465070" cy="657225"/>
                            </a:xfrm>
                            <a:prstGeom prst="rect">
                              <a:avLst/>
                            </a:prstGeom>
                            <a:noFill/>
                            <a:ln w="6350">
                              <a:noFill/>
                            </a:ln>
                            <a:effectLst/>
                          </wps:spPr>
                          <wps:txbx>
                            <w:txbxContent>
                              <w:p>
                                <w:pPr>
                                  <w:jc w:val="distribute"/>
                                  <w:rPr>
                                    <w:rFonts w:hint="eastAsia"/>
                                    <w:lang w:val="en-US" w:eastAsia="zh-CN"/>
                                  </w:rPr>
                                </w:pPr>
                                <w:r>
                                  <w:rPr>
                                    <w:rFonts w:hint="eastAsia" w:eastAsia="楷体" w:cs="楷体"/>
                                    <w:b/>
                                    <w:bCs/>
                                    <w:color w:val="FFFFFF" w:themeColor="background1"/>
                                    <w:sz w:val="72"/>
                                    <w:szCs w:val="72"/>
                                    <w:lang w:val="en-US" w:eastAsia="zh-CN"/>
                                    <w14:textFill>
                                      <w14:solidFill>
                                        <w14:schemeClr w14:val="bg1"/>
                                      </w14:solidFill>
                                    </w14:textFill>
                                  </w:rPr>
                                  <w:t>晋中学院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pt;margin-top:144.4pt;height:51.75pt;width:194.1pt;z-index:251661312;mso-width-relative:page;mso-height-relative:page;" filled="f" stroked="f" coordsize="21600,21600" o:gfxdata="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8nkLc9wAAAALAQAA&#10;DwAAAAAAAAABACAAAAAiAAAAZHJzL2Rvd25yZXYueG1sUEsBAhQAFAAAAAgAh07iQC7CiT5OAgAA&#10;gwQAAA4AAAAAAAAAAQAgAAAAKwEAAGRycy9lMm9Eb2MueG1sUEsFBgAAAAAGAAYAWQEAAOsFAAAA&#10;AA==&#10;">
                    <v:fill on="f" focussize="0,0"/>
                    <v:stroke on="f" weight="0.5pt"/>
                    <v:imagedata o:title=""/>
                    <o:lock v:ext="edit" aspectratio="f"/>
                    <v:textbox>
                      <w:txbxContent>
                        <w:p>
                          <w:pPr>
                            <w:jc w:val="distribute"/>
                            <w:rPr>
                              <w:rFonts w:hint="eastAsia"/>
                              <w:lang w:val="en-US" w:eastAsia="zh-CN"/>
                            </w:rPr>
                          </w:pPr>
                          <w:r>
                            <w:rPr>
                              <w:rFonts w:hint="eastAsia" w:eastAsia="楷体" w:cs="楷体"/>
                              <w:b/>
                              <w:bCs/>
                              <w:color w:val="FFFFFF" w:themeColor="background1"/>
                              <w:sz w:val="72"/>
                              <w:szCs w:val="72"/>
                              <w:lang w:val="en-US" w:eastAsia="zh-CN"/>
                              <w14:textFill>
                                <w14:solidFill>
                                  <w14:schemeClr w14:val="bg1"/>
                                </w14:solidFill>
                              </w14:textFill>
                            </w:rPr>
                            <w:t>晋中学院</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-453390</wp:posOffset>
                    </wp:positionH>
                    <wp:positionV relativeFrom="paragraph">
                      <wp:posOffset>3593465</wp:posOffset>
                    </wp:positionV>
                    <wp:extent cx="6156960" cy="637540"/>
                    <wp:effectExtent l="0" t="0" r="0" b="0"/>
                    <wp:wrapNone/>
                    <wp:docPr id="2" name="文本框 76"/>
                    <wp:cNvGraphicFramePr/>
                    <a:graphic xmlns:a="http://schemas.openxmlformats.org/drawingml/2006/main">
                      <a:graphicData uri="http://schemas.microsoft.com/office/word/2010/wordprocessingShape">
                        <wps:wsp>
                          <wps:cNvSpPr txBox="1"/>
                          <wps:spPr>
                            <a:xfrm>
                              <a:off x="689610" y="4507865"/>
                              <a:ext cx="6156960" cy="637540"/>
                            </a:xfrm>
                            <a:prstGeom prst="rect">
                              <a:avLst/>
                            </a:prstGeom>
                            <a:noFill/>
                            <a:ln w="6350">
                              <a:noFill/>
                            </a:ln>
                            <a:effectLst/>
                          </wps:spPr>
                          <wps:txbx>
                            <w:txbxContent>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 w:cs="Times New Roman"/>
                                    <w:b/>
                                    <w:color w:val="000000" w:themeColor="text1"/>
                                    <w:sz w:val="64"/>
                                    <w:szCs w:val="64"/>
                                    <w:lang w:val="en-US" w:eastAsia="zh-CN"/>
                                    <w14:textFill>
                                      <w14:solidFill>
                                        <w14:schemeClr w14:val="tx1"/>
                                      </w14:solidFill>
                                    </w14:textFill>
                                  </w:rPr>
                                </w:pPr>
                                <w:r>
                                  <w:rPr>
                                    <w:rFonts w:hint="default" w:ascii="Times New Roman" w:hAnsi="Times New Roman" w:eastAsia="楷体" w:cs="Times New Roman"/>
                                    <w:b/>
                                    <w:bCs/>
                                    <w:color w:val="000000" w:themeColor="text1"/>
                                    <w:sz w:val="64"/>
                                    <w:szCs w:val="64"/>
                                    <w:lang w:val="en-US" w:eastAsia="zh-CN"/>
                                    <w14:shadow w14:blurRad="50800" w14:dist="38100" w14:dir="2700000" w14:sx="100000" w14:sy="100000" w14:kx="0" w14:ky="0" w14:algn="tl">
                                      <w14:srgbClr w14:val="000000">
                                        <w14:alpha w14:val="60000"/>
                                      </w14:srgbClr>
                                    </w14:shadow>
                                    <w14:textFill>
                                      <w14:solidFill>
                                        <w14:schemeClr w14:val="tx1"/>
                                      </w14:solidFill>
                                    </w14:textFill>
                                  </w:rPr>
                                  <w:t>2023</w:t>
                                </w:r>
                                <w:r>
                                  <w:rPr>
                                    <w:rFonts w:hint="default" w:ascii="Times New Roman" w:hAnsi="Times New Roman" w:eastAsia="楷体" w:cs="Times New Roman"/>
                                    <w:b/>
                                    <w:bCs/>
                                    <w:color w:val="000000" w:themeColor="text1"/>
                                    <w:sz w:val="64"/>
                                    <w:szCs w:val="64"/>
                                    <w:lang w:val="en-US" w:eastAsia="zh-CN"/>
                                    <w14:textFill>
                                      <w14:solidFill>
                                        <w14:schemeClr w14:val="tx1"/>
                                      </w14:solidFill>
                                    </w14:textFill>
                                  </w:rPr>
                                  <w:t>届毕业生就业质量年度报告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6" o:spid="_x0000_s1026" o:spt="202" type="#_x0000_t202" style="position:absolute;left:0pt;margin-left:-35.7pt;margin-top:282.95pt;height:50.2pt;width:484.8pt;z-index:251661312;mso-width-relative:page;mso-height-relative:page;" filled="f" stroked="f" coordsize="21600,21600" o:gfxdata="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y1FRt0AAAALAQAA&#10;DwAAAAAAAAABACAAAAAiAAAAZHJzL2Rvd25yZXYueG1sUEsBAhQAFAAAAAgAh07iQHb241ZNAgAA&#10;gAQAAA4AAAAAAAAAAQAgAAAALAEAAGRycy9lMm9Eb2MueG1sUEsFBgAAAAAGAAYAWQEAAOsFAAAA&#10;AA==&#10;">
                    <v:fill on="f" focussize="0,0"/>
                    <v:stroke on="f" weight="0.5pt"/>
                    <v:imagedata o:title=""/>
                    <o:lock v:ext="edit" aspectratio="f"/>
                    <v:textbox>
                      <w:txbxContent>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 w:cs="Times New Roman"/>
                              <w:b/>
                              <w:color w:val="000000" w:themeColor="text1"/>
                              <w:sz w:val="64"/>
                              <w:szCs w:val="64"/>
                              <w:lang w:val="en-US" w:eastAsia="zh-CN"/>
                              <w14:textFill>
                                <w14:solidFill>
                                  <w14:schemeClr w14:val="tx1"/>
                                </w14:solidFill>
                              </w14:textFill>
                            </w:rPr>
                          </w:pPr>
                          <w:r>
                            <w:rPr>
                              <w:rFonts w:hint="default" w:ascii="Times New Roman" w:hAnsi="Times New Roman" w:eastAsia="楷体" w:cs="Times New Roman"/>
                              <w:b/>
                              <w:bCs/>
                              <w:color w:val="000000" w:themeColor="text1"/>
                              <w:sz w:val="64"/>
                              <w:szCs w:val="64"/>
                              <w:lang w:val="en-US" w:eastAsia="zh-CN"/>
                              <w14:shadow w14:blurRad="50800" w14:dist="38100" w14:dir="2700000" w14:sx="100000" w14:sy="100000" w14:kx="0" w14:ky="0" w14:algn="tl">
                                <w14:srgbClr w14:val="000000">
                                  <w14:alpha w14:val="60000"/>
                                </w14:srgbClr>
                              </w14:shadow>
                              <w14:textFill>
                                <w14:solidFill>
                                  <w14:schemeClr w14:val="tx1"/>
                                </w14:solidFill>
                              </w14:textFill>
                            </w:rPr>
                            <w:t>2023</w:t>
                          </w:r>
                          <w:r>
                            <w:rPr>
                              <w:rFonts w:hint="default" w:ascii="Times New Roman" w:hAnsi="Times New Roman" w:eastAsia="楷体" w:cs="Times New Roman"/>
                              <w:b/>
                              <w:bCs/>
                              <w:color w:val="000000" w:themeColor="text1"/>
                              <w:sz w:val="64"/>
                              <w:szCs w:val="64"/>
                              <w:lang w:val="en-US" w:eastAsia="zh-CN"/>
                              <w14:textFill>
                                <w14:solidFill>
                                  <w14:schemeClr w14:val="tx1"/>
                                </w14:solidFill>
                              </w14:textFill>
                            </w:rPr>
                            <w:t>届毕业生就业质量年度报告</w:t>
                          </w:r>
                        </w:p>
                      </w:txbxContent>
                    </v:textbox>
                  </v:shape>
                </w:pict>
              </mc:Fallback>
            </mc:AlternateContent>
          </w:r>
        </w:p>
        <w:p>
          <w:pPr>
            <w:shd w:val="clear" w:color="auto" w:fill="0F6FC6"/>
            <w:jc w:val="center"/>
            <w:rPr>
              <w:rFonts w:hint="default" w:ascii="Times New Roman" w:hAnsi="Times New Roman" w:eastAsia="华文中宋" w:cs="Times New Roman"/>
              <w:b/>
              <w:color w:val="FFFFFF"/>
              <w:sz w:val="36"/>
            </w:rP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0" w:footer="992" w:gutter="0"/>
              <w:pgBorders>
                <w:top w:val="none" w:sz="0" w:space="0"/>
                <w:left w:val="none" w:sz="0" w:space="0"/>
                <w:bottom w:val="none" w:sz="0" w:space="0"/>
                <w:right w:val="none" w:sz="0" w:space="0"/>
              </w:pgBorders>
              <w:pgNumType w:fmt="upperRoman" w:start="1"/>
              <w:cols w:space="360" w:num="1"/>
              <w:docGrid w:linePitch="312" w:charSpace="0"/>
            </w:sectPr>
          </w:pPr>
        </w:p>
        <w:p>
          <w:pPr>
            <w:shd w:val="clear" w:color="auto" w:fill="0F6FC6"/>
            <w:jc w:val="center"/>
            <w:rPr>
              <w:rFonts w:hint="default" w:ascii="Times New Roman" w:hAnsi="Times New Roman" w:cs="Times New Roman"/>
            </w:rPr>
          </w:pPr>
          <w:r>
            <w:rPr>
              <w:rFonts w:hint="default" w:ascii="Times New Roman" w:hAnsi="Times New Roman" w:eastAsia="华文中宋" w:cs="Times New Roman"/>
              <w:b/>
              <w:color w:val="FFFFFF"/>
              <w:sz w:val="36"/>
            </w:rPr>
            <w:t>目  录</w:t>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"1-5" \h \z \u</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_Toc5202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学校概况</w:t>
          </w:r>
          <w:r>
            <w:rPr>
              <w:rFonts w:eastAsia="宋体"/>
              <w:sz w:val="24"/>
            </w:rPr>
            <w:tab/>
          </w:r>
          <w:r>
            <w:rPr>
              <w:rFonts w:eastAsia="宋体"/>
              <w:sz w:val="24"/>
            </w:rPr>
            <w:fldChar w:fldCharType="begin"/>
          </w:r>
          <w:r>
            <w:rPr>
              <w:rFonts w:eastAsia="宋体"/>
              <w:sz w:val="24"/>
            </w:rPr>
            <w:instrText xml:space="preserve"> PAGEREF _Toc5202 \h </w:instrText>
          </w:r>
          <w:r>
            <w:rPr>
              <w:rFonts w:eastAsia="宋体"/>
              <w:sz w:val="24"/>
            </w:rPr>
            <w:fldChar w:fldCharType="separate"/>
          </w:r>
          <w:r>
            <w:rPr>
              <w:rFonts w:eastAsia="宋体"/>
              <w:sz w:val="24"/>
            </w:rPr>
            <w:t>1</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_Toc8771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lang w:val="en-US" w:eastAsia="zh-CN"/>
            </w:rPr>
            <w:t>报告说明</w:t>
          </w:r>
          <w:r>
            <w:rPr>
              <w:rFonts w:eastAsia="宋体"/>
              <w:sz w:val="24"/>
            </w:rPr>
            <w:tab/>
          </w:r>
          <w:r>
            <w:rPr>
              <w:rFonts w:eastAsia="宋体"/>
              <w:sz w:val="24"/>
            </w:rPr>
            <w:fldChar w:fldCharType="begin"/>
          </w:r>
          <w:r>
            <w:rPr>
              <w:rFonts w:eastAsia="宋体"/>
              <w:sz w:val="24"/>
            </w:rPr>
            <w:instrText xml:space="preserve"> PAGEREF _Toc8771 \h </w:instrText>
          </w:r>
          <w:r>
            <w:rPr>
              <w:rFonts w:eastAsia="宋体"/>
              <w:sz w:val="24"/>
            </w:rPr>
            <w:fldChar w:fldCharType="separate"/>
          </w:r>
          <w:r>
            <w:rPr>
              <w:rFonts w:eastAsia="宋体"/>
              <w:sz w:val="24"/>
            </w:rPr>
            <w:t>4</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_Toc5247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PART 01  总体结论</w:t>
          </w:r>
          <w:bookmarkStart w:id="109" w:name="_GoBack"/>
          <w:bookmarkEnd w:id="109"/>
          <w:r>
            <w:rPr>
              <w:rFonts w:eastAsia="宋体"/>
              <w:sz w:val="24"/>
            </w:rPr>
            <w:tab/>
          </w:r>
          <w:r>
            <w:rPr>
              <w:rFonts w:eastAsia="宋体"/>
              <w:sz w:val="24"/>
            </w:rPr>
            <w:fldChar w:fldCharType="begin"/>
          </w:r>
          <w:r>
            <w:rPr>
              <w:rFonts w:eastAsia="宋体"/>
              <w:sz w:val="24"/>
            </w:rPr>
            <w:instrText xml:space="preserve"> PAGEREF _Toc5247 \h </w:instrText>
          </w:r>
          <w:r>
            <w:rPr>
              <w:rFonts w:eastAsia="宋体"/>
              <w:sz w:val="24"/>
            </w:rPr>
            <w:fldChar w:fldCharType="separate"/>
          </w:r>
          <w:r>
            <w:rPr>
              <w:rFonts w:eastAsia="宋体"/>
              <w:sz w:val="24"/>
            </w:rPr>
            <w:t>5</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_Toc11281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一、毕业去向落实率和毕业去向分布</w:t>
          </w:r>
          <w:r>
            <w:rPr>
              <w:rFonts w:eastAsia="宋体"/>
              <w:sz w:val="24"/>
            </w:rPr>
            <w:tab/>
          </w:r>
          <w:r>
            <w:rPr>
              <w:rFonts w:eastAsia="宋体"/>
              <w:sz w:val="24"/>
            </w:rPr>
            <w:fldChar w:fldCharType="begin"/>
          </w:r>
          <w:r>
            <w:rPr>
              <w:rFonts w:eastAsia="宋体"/>
              <w:sz w:val="24"/>
            </w:rPr>
            <w:instrText xml:space="preserve"> PAGEREF _Toc11281 \h </w:instrText>
          </w:r>
          <w:r>
            <w:rPr>
              <w:rFonts w:eastAsia="宋体"/>
              <w:sz w:val="24"/>
            </w:rPr>
            <w:fldChar w:fldCharType="separate"/>
          </w:r>
          <w:r>
            <w:rPr>
              <w:rFonts w:eastAsia="宋体"/>
              <w:sz w:val="24"/>
            </w:rPr>
            <w:t>5</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_Toc4920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二、就业特色分析</w:t>
          </w:r>
          <w:r>
            <w:rPr>
              <w:rFonts w:eastAsia="宋体"/>
              <w:sz w:val="24"/>
            </w:rPr>
            <w:tab/>
          </w:r>
          <w:r>
            <w:rPr>
              <w:rFonts w:eastAsia="宋体"/>
              <w:sz w:val="24"/>
            </w:rPr>
            <w:fldChar w:fldCharType="begin"/>
          </w:r>
          <w:r>
            <w:rPr>
              <w:rFonts w:eastAsia="宋体"/>
              <w:sz w:val="24"/>
            </w:rPr>
            <w:instrText xml:space="preserve"> PAGEREF _Toc4920 \h </w:instrText>
          </w:r>
          <w:r>
            <w:rPr>
              <w:rFonts w:eastAsia="宋体"/>
              <w:sz w:val="24"/>
            </w:rPr>
            <w:fldChar w:fldCharType="separate"/>
          </w:r>
          <w:r>
            <w:rPr>
              <w:rFonts w:eastAsia="宋体"/>
              <w:sz w:val="24"/>
            </w:rPr>
            <w:t>5</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_Toc10781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三、就业相关分析</w:t>
          </w:r>
          <w:r>
            <w:rPr>
              <w:rFonts w:eastAsia="宋体"/>
              <w:sz w:val="24"/>
            </w:rPr>
            <w:tab/>
          </w:r>
          <w:r>
            <w:rPr>
              <w:rFonts w:eastAsia="宋体"/>
              <w:sz w:val="24"/>
            </w:rPr>
            <w:fldChar w:fldCharType="begin"/>
          </w:r>
          <w:r>
            <w:rPr>
              <w:rFonts w:eastAsia="宋体"/>
              <w:sz w:val="24"/>
            </w:rPr>
            <w:instrText xml:space="preserve"> PAGEREF _Toc10781 \h </w:instrText>
          </w:r>
          <w:r>
            <w:rPr>
              <w:rFonts w:eastAsia="宋体"/>
              <w:sz w:val="24"/>
            </w:rPr>
            <w:fldChar w:fldCharType="separate"/>
          </w:r>
          <w:r>
            <w:rPr>
              <w:rFonts w:eastAsia="宋体"/>
              <w:sz w:val="24"/>
            </w:rPr>
            <w:t>6</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_Toc16016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四、对教育教学反馈</w:t>
          </w:r>
          <w:r>
            <w:rPr>
              <w:rFonts w:eastAsia="宋体"/>
              <w:sz w:val="24"/>
            </w:rPr>
            <w:tab/>
          </w:r>
          <w:r>
            <w:rPr>
              <w:rFonts w:eastAsia="宋体"/>
              <w:sz w:val="24"/>
            </w:rPr>
            <w:fldChar w:fldCharType="begin"/>
          </w:r>
          <w:r>
            <w:rPr>
              <w:rFonts w:eastAsia="宋体"/>
              <w:sz w:val="24"/>
            </w:rPr>
            <w:instrText xml:space="preserve"> PAGEREF _Toc16016 \h </w:instrText>
          </w:r>
          <w:r>
            <w:rPr>
              <w:rFonts w:eastAsia="宋体"/>
              <w:sz w:val="24"/>
            </w:rPr>
            <w:fldChar w:fldCharType="separate"/>
          </w:r>
          <w:r>
            <w:rPr>
              <w:rFonts w:eastAsia="宋体"/>
              <w:sz w:val="24"/>
            </w:rPr>
            <w:t>7</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_Toc31552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五、用人单位评价</w:t>
          </w:r>
          <w:r>
            <w:rPr>
              <w:rFonts w:eastAsia="宋体"/>
              <w:sz w:val="24"/>
            </w:rPr>
            <w:tab/>
          </w:r>
          <w:r>
            <w:rPr>
              <w:rFonts w:eastAsia="宋体"/>
              <w:sz w:val="24"/>
            </w:rPr>
            <w:fldChar w:fldCharType="begin"/>
          </w:r>
          <w:r>
            <w:rPr>
              <w:rFonts w:eastAsia="宋体"/>
              <w:sz w:val="24"/>
            </w:rPr>
            <w:instrText xml:space="preserve"> PAGEREF _Toc31552 \h </w:instrText>
          </w:r>
          <w:r>
            <w:rPr>
              <w:rFonts w:eastAsia="宋体"/>
              <w:sz w:val="24"/>
            </w:rPr>
            <w:fldChar w:fldCharType="separate"/>
          </w:r>
          <w:r>
            <w:rPr>
              <w:rFonts w:eastAsia="宋体"/>
              <w:sz w:val="24"/>
            </w:rPr>
            <w:t>7</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PART 02  毕业生就业基本情况</w:t>
          </w:r>
          <w:r>
            <w:rPr>
              <w:rFonts w:eastAsia="宋体"/>
              <w:sz w:val="24"/>
            </w:rPr>
            <w:tab/>
          </w:r>
          <w:r>
            <w:rPr>
              <w:rFonts w:eastAsia="宋体"/>
              <w:sz w:val="24"/>
            </w:rPr>
            <w:fldChar w:fldCharType="begin"/>
          </w:r>
          <w:r>
            <w:rPr>
              <w:rFonts w:eastAsia="宋体"/>
              <w:sz w:val="24"/>
            </w:rPr>
            <w:instrText xml:space="preserve"> PAGEREF _Toc1735 \h </w:instrText>
          </w:r>
          <w:r>
            <w:rPr>
              <w:rFonts w:eastAsia="宋体"/>
              <w:sz w:val="24"/>
            </w:rPr>
            <w:fldChar w:fldCharType="separate"/>
          </w:r>
          <w:r>
            <w:rPr>
              <w:rFonts w:eastAsia="宋体"/>
              <w:sz w:val="24"/>
            </w:rPr>
            <w:t>9</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_Toc20572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一、毕业生的规模和结构</w:t>
          </w:r>
          <w:r>
            <w:rPr>
              <w:rFonts w:eastAsia="宋体"/>
              <w:sz w:val="24"/>
            </w:rPr>
            <w:tab/>
          </w:r>
          <w:r>
            <w:rPr>
              <w:rFonts w:eastAsia="宋体"/>
              <w:sz w:val="24"/>
            </w:rPr>
            <w:fldChar w:fldCharType="begin"/>
          </w:r>
          <w:r>
            <w:rPr>
              <w:rFonts w:eastAsia="宋体"/>
              <w:sz w:val="24"/>
            </w:rPr>
            <w:instrText xml:space="preserve"> PAGEREF _Toc20572 \h </w:instrText>
          </w:r>
          <w:r>
            <w:rPr>
              <w:rFonts w:eastAsia="宋体"/>
              <w:sz w:val="24"/>
            </w:rPr>
            <w:fldChar w:fldCharType="separate"/>
          </w:r>
          <w:r>
            <w:rPr>
              <w:rFonts w:eastAsia="宋体"/>
              <w:sz w:val="24"/>
            </w:rPr>
            <w:t>9</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_Toc23634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（一）毕业生的总体规模</w:t>
          </w:r>
          <w:r>
            <w:rPr>
              <w:rFonts w:eastAsia="宋体"/>
              <w:sz w:val="24"/>
            </w:rPr>
            <w:tab/>
          </w:r>
          <w:r>
            <w:rPr>
              <w:rFonts w:eastAsia="宋体"/>
              <w:sz w:val="24"/>
            </w:rPr>
            <w:fldChar w:fldCharType="begin"/>
          </w:r>
          <w:r>
            <w:rPr>
              <w:rFonts w:eastAsia="宋体"/>
              <w:sz w:val="24"/>
            </w:rPr>
            <w:instrText xml:space="preserve"> PAGEREF _Toc23634 \h </w:instrText>
          </w:r>
          <w:r>
            <w:rPr>
              <w:rFonts w:eastAsia="宋体"/>
              <w:sz w:val="24"/>
            </w:rPr>
            <w:fldChar w:fldCharType="separate"/>
          </w:r>
          <w:r>
            <w:rPr>
              <w:rFonts w:eastAsia="宋体"/>
              <w:sz w:val="24"/>
            </w:rPr>
            <w:t>9</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_Toc14022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w:t>
          </w:r>
          <w:r>
            <w:rPr>
              <w:rFonts w:hint="eastAsia" w:eastAsia="宋体" w:cs="Times New Roman"/>
              <w:sz w:val="24"/>
              <w:lang w:val="en-US" w:eastAsia="zh-CN"/>
            </w:rPr>
            <w:t>系</w:t>
          </w:r>
          <w:r>
            <w:rPr>
              <w:rFonts w:hint="default" w:ascii="Times New Roman" w:hAnsi="Times New Roman" w:eastAsia="宋体" w:cs="Times New Roman"/>
              <w:sz w:val="24"/>
            </w:rPr>
            <w:t>结构</w:t>
          </w:r>
          <w:r>
            <w:rPr>
              <w:rFonts w:eastAsia="宋体"/>
              <w:sz w:val="24"/>
            </w:rPr>
            <w:tab/>
          </w:r>
          <w:r>
            <w:rPr>
              <w:rFonts w:eastAsia="宋体"/>
              <w:sz w:val="24"/>
            </w:rPr>
            <w:fldChar w:fldCharType="begin"/>
          </w:r>
          <w:r>
            <w:rPr>
              <w:rFonts w:eastAsia="宋体"/>
              <w:sz w:val="24"/>
            </w:rPr>
            <w:instrText xml:space="preserve"> PAGEREF _Toc14022 \h </w:instrText>
          </w:r>
          <w:r>
            <w:rPr>
              <w:rFonts w:eastAsia="宋体"/>
              <w:sz w:val="24"/>
            </w:rPr>
            <w:fldChar w:fldCharType="separate"/>
          </w:r>
          <w:r>
            <w:rPr>
              <w:rFonts w:eastAsia="宋体"/>
              <w:sz w:val="24"/>
            </w:rPr>
            <w:t>9</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_Toc17175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（三）专业结构</w:t>
          </w:r>
          <w:r>
            <w:rPr>
              <w:rFonts w:eastAsia="宋体"/>
              <w:sz w:val="24"/>
            </w:rPr>
            <w:tab/>
          </w:r>
          <w:r>
            <w:rPr>
              <w:rFonts w:eastAsia="宋体"/>
              <w:sz w:val="24"/>
            </w:rPr>
            <w:fldChar w:fldCharType="begin"/>
          </w:r>
          <w:r>
            <w:rPr>
              <w:rFonts w:eastAsia="宋体"/>
              <w:sz w:val="24"/>
            </w:rPr>
            <w:instrText xml:space="preserve"> PAGEREF _Toc17175 \h </w:instrText>
          </w:r>
          <w:r>
            <w:rPr>
              <w:rFonts w:eastAsia="宋体"/>
              <w:sz w:val="24"/>
            </w:rPr>
            <w:fldChar w:fldCharType="separate"/>
          </w:r>
          <w:r>
            <w:rPr>
              <w:rFonts w:eastAsia="宋体"/>
              <w:sz w:val="24"/>
            </w:rPr>
            <w:t>10</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_Toc18184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（四）生源结构</w:t>
          </w:r>
          <w:r>
            <w:rPr>
              <w:rFonts w:eastAsia="宋体"/>
              <w:sz w:val="24"/>
            </w:rPr>
            <w:tab/>
          </w:r>
          <w:r>
            <w:rPr>
              <w:rFonts w:eastAsia="宋体"/>
              <w:sz w:val="24"/>
            </w:rPr>
            <w:fldChar w:fldCharType="begin"/>
          </w:r>
          <w:r>
            <w:rPr>
              <w:rFonts w:eastAsia="宋体"/>
              <w:sz w:val="24"/>
            </w:rPr>
            <w:instrText xml:space="preserve"> PAGEREF _Toc18184 \h </w:instrText>
          </w:r>
          <w:r>
            <w:rPr>
              <w:rFonts w:eastAsia="宋体"/>
              <w:sz w:val="24"/>
            </w:rPr>
            <w:fldChar w:fldCharType="separate"/>
          </w:r>
          <w:r>
            <w:rPr>
              <w:rFonts w:eastAsia="宋体"/>
              <w:sz w:val="24"/>
            </w:rPr>
            <w:t>12</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二、毕业去向落实率及毕业去向分布</w:t>
          </w:r>
          <w:r>
            <w:rPr>
              <w:rFonts w:eastAsia="宋体"/>
              <w:sz w:val="24"/>
            </w:rPr>
            <w:tab/>
          </w:r>
          <w:r>
            <w:rPr>
              <w:rFonts w:eastAsia="宋体"/>
              <w:sz w:val="24"/>
            </w:rPr>
            <w:fldChar w:fldCharType="begin"/>
          </w:r>
          <w:r>
            <w:rPr>
              <w:rFonts w:eastAsia="宋体"/>
              <w:sz w:val="24"/>
            </w:rPr>
            <w:instrText xml:space="preserve"> PAGEREF _Toc3254 \h </w:instrText>
          </w:r>
          <w:r>
            <w:rPr>
              <w:rFonts w:eastAsia="宋体"/>
              <w:sz w:val="24"/>
            </w:rPr>
            <w:fldChar w:fldCharType="separate"/>
          </w:r>
          <w:r>
            <w:rPr>
              <w:rFonts w:eastAsia="宋体"/>
              <w:sz w:val="24"/>
            </w:rPr>
            <w:t>13</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_Toc8860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三、国内升学情况分析</w:t>
          </w:r>
          <w:r>
            <w:rPr>
              <w:rFonts w:eastAsia="宋体"/>
              <w:sz w:val="24"/>
            </w:rPr>
            <w:tab/>
          </w:r>
          <w:r>
            <w:rPr>
              <w:rFonts w:eastAsia="宋体"/>
              <w:sz w:val="24"/>
            </w:rPr>
            <w:fldChar w:fldCharType="begin"/>
          </w:r>
          <w:r>
            <w:rPr>
              <w:rFonts w:eastAsia="宋体"/>
              <w:sz w:val="24"/>
            </w:rPr>
            <w:instrText xml:space="preserve"> PAGEREF _Toc8860 \h </w:instrText>
          </w:r>
          <w:r>
            <w:rPr>
              <w:rFonts w:eastAsia="宋体"/>
              <w:sz w:val="24"/>
            </w:rPr>
            <w:fldChar w:fldCharType="separate"/>
          </w:r>
          <w:r>
            <w:rPr>
              <w:rFonts w:eastAsia="宋体"/>
              <w:sz w:val="24"/>
            </w:rPr>
            <w:t>14</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_Toc22986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（一）升学基本情况</w:t>
          </w:r>
          <w:r>
            <w:rPr>
              <w:rFonts w:eastAsia="宋体"/>
              <w:sz w:val="24"/>
            </w:rPr>
            <w:tab/>
          </w:r>
          <w:r>
            <w:rPr>
              <w:rFonts w:eastAsia="宋体"/>
              <w:sz w:val="24"/>
            </w:rPr>
            <w:fldChar w:fldCharType="begin"/>
          </w:r>
          <w:r>
            <w:rPr>
              <w:rFonts w:eastAsia="宋体"/>
              <w:sz w:val="24"/>
            </w:rPr>
            <w:instrText xml:space="preserve"> PAGEREF _Toc22986 \h </w:instrText>
          </w:r>
          <w:r>
            <w:rPr>
              <w:rFonts w:eastAsia="宋体"/>
              <w:sz w:val="24"/>
            </w:rPr>
            <w:fldChar w:fldCharType="separate"/>
          </w:r>
          <w:r>
            <w:rPr>
              <w:rFonts w:eastAsia="宋体"/>
              <w:sz w:val="24"/>
            </w:rPr>
            <w:t>14</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（二）升学专业相关度和满意度</w:t>
          </w:r>
          <w:r>
            <w:rPr>
              <w:rFonts w:eastAsia="宋体"/>
              <w:sz w:val="24"/>
            </w:rPr>
            <w:tab/>
          </w:r>
          <w:r>
            <w:rPr>
              <w:rFonts w:eastAsia="宋体"/>
              <w:sz w:val="24"/>
            </w:rPr>
            <w:fldChar w:fldCharType="begin"/>
          </w:r>
          <w:r>
            <w:rPr>
              <w:rFonts w:eastAsia="宋体"/>
              <w:sz w:val="24"/>
            </w:rPr>
            <w:instrText xml:space="preserve"> PAGEREF _Toc142 \h </w:instrText>
          </w:r>
          <w:r>
            <w:rPr>
              <w:rFonts w:eastAsia="宋体"/>
              <w:sz w:val="24"/>
            </w:rPr>
            <w:fldChar w:fldCharType="separate"/>
          </w:r>
          <w:r>
            <w:rPr>
              <w:rFonts w:eastAsia="宋体"/>
              <w:sz w:val="24"/>
            </w:rPr>
            <w:t>15</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_Toc17035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（三）升学原因</w:t>
          </w:r>
          <w:r>
            <w:rPr>
              <w:rFonts w:eastAsia="宋体"/>
              <w:sz w:val="24"/>
            </w:rPr>
            <w:tab/>
          </w:r>
          <w:r>
            <w:rPr>
              <w:rFonts w:eastAsia="宋体"/>
              <w:sz w:val="24"/>
            </w:rPr>
            <w:fldChar w:fldCharType="begin"/>
          </w:r>
          <w:r>
            <w:rPr>
              <w:rFonts w:eastAsia="宋体"/>
              <w:sz w:val="24"/>
            </w:rPr>
            <w:instrText xml:space="preserve"> PAGEREF _Toc17035 \h </w:instrText>
          </w:r>
          <w:r>
            <w:rPr>
              <w:rFonts w:eastAsia="宋体"/>
              <w:sz w:val="24"/>
            </w:rPr>
            <w:fldChar w:fldCharType="separate"/>
          </w:r>
          <w:r>
            <w:rPr>
              <w:rFonts w:eastAsia="宋体"/>
              <w:sz w:val="24"/>
            </w:rPr>
            <w:t>15</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_Toc18473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lang w:val="en-US" w:eastAsia="zh-CN"/>
            </w:rPr>
            <w:t>四、出国、出境情况分析</w:t>
          </w:r>
          <w:r>
            <w:rPr>
              <w:rFonts w:eastAsia="宋体"/>
              <w:sz w:val="24"/>
            </w:rPr>
            <w:tab/>
          </w:r>
          <w:r>
            <w:rPr>
              <w:rFonts w:eastAsia="宋体"/>
              <w:sz w:val="24"/>
            </w:rPr>
            <w:fldChar w:fldCharType="begin"/>
          </w:r>
          <w:r>
            <w:rPr>
              <w:rFonts w:eastAsia="宋体"/>
              <w:sz w:val="24"/>
            </w:rPr>
            <w:instrText xml:space="preserve"> PAGEREF _Toc18473 \h </w:instrText>
          </w:r>
          <w:r>
            <w:rPr>
              <w:rFonts w:eastAsia="宋体"/>
              <w:sz w:val="24"/>
            </w:rPr>
            <w:fldChar w:fldCharType="separate"/>
          </w:r>
          <w:r>
            <w:rPr>
              <w:rFonts w:eastAsia="宋体"/>
              <w:sz w:val="24"/>
            </w:rPr>
            <w:t>16</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_Toc18751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lang w:val="en-US" w:eastAsia="zh-CN"/>
            </w:rPr>
            <w:t>（一）留学基本情况</w:t>
          </w:r>
          <w:r>
            <w:rPr>
              <w:rFonts w:eastAsia="宋体"/>
              <w:sz w:val="24"/>
            </w:rPr>
            <w:tab/>
          </w:r>
          <w:r>
            <w:rPr>
              <w:rFonts w:eastAsia="宋体"/>
              <w:sz w:val="24"/>
            </w:rPr>
            <w:fldChar w:fldCharType="begin"/>
          </w:r>
          <w:r>
            <w:rPr>
              <w:rFonts w:eastAsia="宋体"/>
              <w:sz w:val="24"/>
            </w:rPr>
            <w:instrText xml:space="preserve"> PAGEREF _Toc18751 \h </w:instrText>
          </w:r>
          <w:r>
            <w:rPr>
              <w:rFonts w:eastAsia="宋体"/>
              <w:sz w:val="24"/>
            </w:rPr>
            <w:fldChar w:fldCharType="separate"/>
          </w:r>
          <w:r>
            <w:rPr>
              <w:rFonts w:eastAsia="宋体"/>
              <w:sz w:val="24"/>
            </w:rPr>
            <w:t>16</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_Toc29213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lang w:val="en-US" w:eastAsia="zh-CN"/>
            </w:rPr>
            <w:t>（二）留学专业相关度和满意度</w:t>
          </w:r>
          <w:r>
            <w:rPr>
              <w:rFonts w:eastAsia="宋体"/>
              <w:sz w:val="24"/>
            </w:rPr>
            <w:tab/>
          </w:r>
          <w:r>
            <w:rPr>
              <w:rFonts w:eastAsia="宋体"/>
              <w:sz w:val="24"/>
            </w:rPr>
            <w:fldChar w:fldCharType="begin"/>
          </w:r>
          <w:r>
            <w:rPr>
              <w:rFonts w:eastAsia="宋体"/>
              <w:sz w:val="24"/>
            </w:rPr>
            <w:instrText xml:space="preserve"> PAGEREF _Toc29213 \h </w:instrText>
          </w:r>
          <w:r>
            <w:rPr>
              <w:rFonts w:eastAsia="宋体"/>
              <w:sz w:val="24"/>
            </w:rPr>
            <w:fldChar w:fldCharType="separate"/>
          </w:r>
          <w:r>
            <w:rPr>
              <w:rFonts w:eastAsia="宋体"/>
              <w:sz w:val="24"/>
            </w:rPr>
            <w:t>17</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_Toc3408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lang w:val="en-US" w:eastAsia="zh-CN"/>
            </w:rPr>
            <w:t>（三）留学原因</w:t>
          </w:r>
          <w:r>
            <w:rPr>
              <w:rFonts w:eastAsia="宋体"/>
              <w:sz w:val="24"/>
            </w:rPr>
            <w:tab/>
          </w:r>
          <w:r>
            <w:rPr>
              <w:rFonts w:eastAsia="宋体"/>
              <w:sz w:val="24"/>
            </w:rPr>
            <w:fldChar w:fldCharType="begin"/>
          </w:r>
          <w:r>
            <w:rPr>
              <w:rFonts w:eastAsia="宋体"/>
              <w:sz w:val="24"/>
            </w:rPr>
            <w:instrText xml:space="preserve"> PAGEREF _Toc3408 \h </w:instrText>
          </w:r>
          <w:r>
            <w:rPr>
              <w:rFonts w:eastAsia="宋体"/>
              <w:sz w:val="24"/>
            </w:rPr>
            <w:fldChar w:fldCharType="separate"/>
          </w:r>
          <w:r>
            <w:rPr>
              <w:rFonts w:eastAsia="宋体"/>
              <w:sz w:val="24"/>
            </w:rPr>
            <w:t>18</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_Toc27584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sz w:val="24"/>
              <w:lang w:val="en-US" w:eastAsia="zh-CN"/>
            </w:rPr>
            <w:t>五</w:t>
          </w:r>
          <w:r>
            <w:rPr>
              <w:rFonts w:hint="default" w:ascii="Times New Roman" w:hAnsi="Times New Roman" w:eastAsia="宋体" w:cs="Times New Roman"/>
              <w:sz w:val="24"/>
            </w:rPr>
            <w:t>、创业情况分析</w:t>
          </w:r>
          <w:r>
            <w:rPr>
              <w:rFonts w:eastAsia="宋体"/>
              <w:sz w:val="24"/>
            </w:rPr>
            <w:tab/>
          </w:r>
          <w:r>
            <w:rPr>
              <w:rFonts w:eastAsia="宋体"/>
              <w:sz w:val="24"/>
            </w:rPr>
            <w:fldChar w:fldCharType="begin"/>
          </w:r>
          <w:r>
            <w:rPr>
              <w:rFonts w:eastAsia="宋体"/>
              <w:sz w:val="24"/>
            </w:rPr>
            <w:instrText xml:space="preserve"> PAGEREF _Toc27584 \h </w:instrText>
          </w:r>
          <w:r>
            <w:rPr>
              <w:rFonts w:eastAsia="宋体"/>
              <w:sz w:val="24"/>
            </w:rPr>
            <w:fldChar w:fldCharType="separate"/>
          </w:r>
          <w:r>
            <w:rPr>
              <w:rFonts w:eastAsia="宋体"/>
              <w:sz w:val="24"/>
            </w:rPr>
            <w:t>18</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_Toc11272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（一）创业基本情况</w:t>
          </w:r>
          <w:r>
            <w:rPr>
              <w:rFonts w:eastAsia="宋体"/>
              <w:sz w:val="24"/>
            </w:rPr>
            <w:tab/>
          </w:r>
          <w:r>
            <w:rPr>
              <w:rFonts w:eastAsia="宋体"/>
              <w:sz w:val="24"/>
            </w:rPr>
            <w:fldChar w:fldCharType="begin"/>
          </w:r>
          <w:r>
            <w:rPr>
              <w:rFonts w:eastAsia="宋体"/>
              <w:sz w:val="24"/>
            </w:rPr>
            <w:instrText xml:space="preserve"> PAGEREF _Toc11272 \h </w:instrText>
          </w:r>
          <w:r>
            <w:rPr>
              <w:rFonts w:eastAsia="宋体"/>
              <w:sz w:val="24"/>
            </w:rPr>
            <w:fldChar w:fldCharType="separate"/>
          </w:r>
          <w:r>
            <w:rPr>
              <w:rFonts w:eastAsia="宋体"/>
              <w:sz w:val="24"/>
            </w:rPr>
            <w:t>19</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_Toc21841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（二）创业原因及创业困难</w:t>
          </w:r>
          <w:r>
            <w:rPr>
              <w:rFonts w:eastAsia="宋体"/>
              <w:sz w:val="24"/>
            </w:rPr>
            <w:tab/>
          </w:r>
          <w:r>
            <w:rPr>
              <w:rFonts w:eastAsia="宋体"/>
              <w:sz w:val="24"/>
            </w:rPr>
            <w:fldChar w:fldCharType="begin"/>
          </w:r>
          <w:r>
            <w:rPr>
              <w:rFonts w:eastAsia="宋体"/>
              <w:sz w:val="24"/>
            </w:rPr>
            <w:instrText xml:space="preserve"> PAGEREF _Toc21841 \h </w:instrText>
          </w:r>
          <w:r>
            <w:rPr>
              <w:rFonts w:eastAsia="宋体"/>
              <w:sz w:val="24"/>
            </w:rPr>
            <w:fldChar w:fldCharType="separate"/>
          </w:r>
          <w:r>
            <w:rPr>
              <w:rFonts w:eastAsia="宋体"/>
              <w:sz w:val="24"/>
            </w:rPr>
            <w:t>19</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_Toc25670 </w:instrText>
          </w:r>
          <w:r>
            <w:rPr>
              <w:rFonts w:hint="default" w:ascii="Times New Roman" w:hAnsi="Times New Roman" w:eastAsia="宋体" w:cs="Times New Roman"/>
              <w:sz w:val="24"/>
              <w:szCs w:val="24"/>
            </w:rPr>
            <w:fldChar w:fldCharType="separate"/>
          </w:r>
          <w:r>
            <w:rPr>
              <w:rFonts w:hint="eastAsia" w:ascii="Times New Roman" w:hAnsi="Times New Roman" w:eastAsia="宋体" w:cs="Times New Roman"/>
              <w:sz w:val="24"/>
              <w:lang w:val="en-US" w:eastAsia="zh-CN"/>
            </w:rPr>
            <w:t>六</w:t>
          </w:r>
          <w:r>
            <w:rPr>
              <w:rFonts w:hint="default" w:ascii="Times New Roman" w:hAnsi="Times New Roman" w:eastAsia="宋体" w:cs="Times New Roman"/>
              <w:sz w:val="24"/>
            </w:rPr>
            <w:t>、未就业情况分析</w:t>
          </w:r>
          <w:r>
            <w:rPr>
              <w:rFonts w:eastAsia="宋体"/>
              <w:sz w:val="24"/>
            </w:rPr>
            <w:tab/>
          </w:r>
          <w:r>
            <w:rPr>
              <w:rFonts w:eastAsia="宋体"/>
              <w:sz w:val="24"/>
            </w:rPr>
            <w:fldChar w:fldCharType="begin"/>
          </w:r>
          <w:r>
            <w:rPr>
              <w:rFonts w:eastAsia="宋体"/>
              <w:sz w:val="24"/>
            </w:rPr>
            <w:instrText xml:space="preserve"> PAGEREF _Toc25670 \h </w:instrText>
          </w:r>
          <w:r>
            <w:rPr>
              <w:rFonts w:eastAsia="宋体"/>
              <w:sz w:val="24"/>
            </w:rPr>
            <w:fldChar w:fldCharType="separate"/>
          </w:r>
          <w:r>
            <w:rPr>
              <w:rFonts w:eastAsia="宋体"/>
              <w:sz w:val="24"/>
            </w:rPr>
            <w:t>20</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_Toc31595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（一）继续求职分析</w:t>
          </w:r>
          <w:r>
            <w:rPr>
              <w:rFonts w:eastAsia="宋体"/>
              <w:sz w:val="24"/>
            </w:rPr>
            <w:tab/>
          </w:r>
          <w:r>
            <w:rPr>
              <w:rFonts w:eastAsia="宋体"/>
              <w:sz w:val="24"/>
            </w:rPr>
            <w:fldChar w:fldCharType="begin"/>
          </w:r>
          <w:r>
            <w:rPr>
              <w:rFonts w:eastAsia="宋体"/>
              <w:sz w:val="24"/>
            </w:rPr>
            <w:instrText xml:space="preserve"> PAGEREF _Toc31595 \h </w:instrText>
          </w:r>
          <w:r>
            <w:rPr>
              <w:rFonts w:eastAsia="宋体"/>
              <w:sz w:val="24"/>
            </w:rPr>
            <w:fldChar w:fldCharType="separate"/>
          </w:r>
          <w:r>
            <w:rPr>
              <w:rFonts w:eastAsia="宋体"/>
              <w:sz w:val="24"/>
            </w:rPr>
            <w:t>21</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_Toc31903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（二）继续升学分析</w:t>
          </w:r>
          <w:r>
            <w:rPr>
              <w:rFonts w:eastAsia="宋体"/>
              <w:sz w:val="24"/>
            </w:rPr>
            <w:tab/>
          </w:r>
          <w:r>
            <w:rPr>
              <w:rFonts w:eastAsia="宋体"/>
              <w:sz w:val="24"/>
            </w:rPr>
            <w:fldChar w:fldCharType="begin"/>
          </w:r>
          <w:r>
            <w:rPr>
              <w:rFonts w:eastAsia="宋体"/>
              <w:sz w:val="24"/>
            </w:rPr>
            <w:instrText xml:space="preserve"> PAGEREF _Toc31903 \h </w:instrText>
          </w:r>
          <w:r>
            <w:rPr>
              <w:rFonts w:eastAsia="宋体"/>
              <w:sz w:val="24"/>
            </w:rPr>
            <w:fldChar w:fldCharType="separate"/>
          </w:r>
          <w:r>
            <w:rPr>
              <w:rFonts w:eastAsia="宋体"/>
              <w:sz w:val="24"/>
            </w:rPr>
            <w:t>21</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_Toc11535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（三）希望提供的帮助</w:t>
          </w:r>
          <w:r>
            <w:rPr>
              <w:rFonts w:eastAsia="宋体"/>
              <w:sz w:val="24"/>
            </w:rPr>
            <w:tab/>
          </w:r>
          <w:r>
            <w:rPr>
              <w:rFonts w:eastAsia="宋体"/>
              <w:sz w:val="24"/>
            </w:rPr>
            <w:fldChar w:fldCharType="begin"/>
          </w:r>
          <w:r>
            <w:rPr>
              <w:rFonts w:eastAsia="宋体"/>
              <w:sz w:val="24"/>
            </w:rPr>
            <w:instrText xml:space="preserve"> PAGEREF _Toc11535 \h </w:instrText>
          </w:r>
          <w:r>
            <w:rPr>
              <w:rFonts w:eastAsia="宋体"/>
              <w:sz w:val="24"/>
            </w:rPr>
            <w:fldChar w:fldCharType="separate"/>
          </w:r>
          <w:r>
            <w:rPr>
              <w:rFonts w:eastAsia="宋体"/>
              <w:sz w:val="24"/>
            </w:rPr>
            <w:t>22</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_Toc10186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PART 03  毕业生就业特色分析</w:t>
          </w:r>
          <w:r>
            <w:rPr>
              <w:rFonts w:eastAsia="宋体"/>
              <w:sz w:val="24"/>
            </w:rPr>
            <w:tab/>
          </w:r>
          <w:r>
            <w:rPr>
              <w:rFonts w:eastAsia="宋体"/>
              <w:sz w:val="24"/>
            </w:rPr>
            <w:fldChar w:fldCharType="begin"/>
          </w:r>
          <w:r>
            <w:rPr>
              <w:rFonts w:eastAsia="宋体"/>
              <w:sz w:val="24"/>
            </w:rPr>
            <w:instrText xml:space="preserve"> PAGEREF _Toc10186 \h </w:instrText>
          </w:r>
          <w:r>
            <w:rPr>
              <w:rFonts w:eastAsia="宋体"/>
              <w:sz w:val="24"/>
            </w:rPr>
            <w:fldChar w:fldCharType="separate"/>
          </w:r>
          <w:r>
            <w:rPr>
              <w:rFonts w:eastAsia="宋体"/>
              <w:sz w:val="24"/>
            </w:rPr>
            <w:t>25</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_Toc23271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一、毕业生就业地区分布</w:t>
          </w:r>
          <w:r>
            <w:rPr>
              <w:rFonts w:eastAsia="宋体"/>
              <w:sz w:val="24"/>
            </w:rPr>
            <w:tab/>
          </w:r>
          <w:r>
            <w:rPr>
              <w:rFonts w:eastAsia="宋体"/>
              <w:sz w:val="24"/>
            </w:rPr>
            <w:fldChar w:fldCharType="begin"/>
          </w:r>
          <w:r>
            <w:rPr>
              <w:rFonts w:eastAsia="宋体"/>
              <w:sz w:val="24"/>
            </w:rPr>
            <w:instrText xml:space="preserve"> PAGEREF _Toc23271 \h </w:instrText>
          </w:r>
          <w:r>
            <w:rPr>
              <w:rFonts w:eastAsia="宋体"/>
              <w:sz w:val="24"/>
            </w:rPr>
            <w:fldChar w:fldCharType="separate"/>
          </w:r>
          <w:r>
            <w:rPr>
              <w:rFonts w:eastAsia="宋体"/>
              <w:sz w:val="24"/>
            </w:rPr>
            <w:t>25</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_Toc16724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（一）就业地区分布</w:t>
          </w:r>
          <w:r>
            <w:rPr>
              <w:rFonts w:eastAsia="宋体"/>
              <w:sz w:val="24"/>
            </w:rPr>
            <w:tab/>
          </w:r>
          <w:r>
            <w:rPr>
              <w:rFonts w:eastAsia="宋体"/>
              <w:sz w:val="24"/>
            </w:rPr>
            <w:fldChar w:fldCharType="begin"/>
          </w:r>
          <w:r>
            <w:rPr>
              <w:rFonts w:eastAsia="宋体"/>
              <w:sz w:val="24"/>
            </w:rPr>
            <w:instrText xml:space="preserve"> PAGEREF _Toc16724 \h </w:instrText>
          </w:r>
          <w:r>
            <w:rPr>
              <w:rFonts w:eastAsia="宋体"/>
              <w:sz w:val="24"/>
            </w:rPr>
            <w:fldChar w:fldCharType="separate"/>
          </w:r>
          <w:r>
            <w:rPr>
              <w:rFonts w:eastAsia="宋体"/>
              <w:sz w:val="24"/>
            </w:rPr>
            <w:t>25</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_Toc4528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（二）生源地就业地交叉分析</w:t>
          </w:r>
          <w:r>
            <w:rPr>
              <w:rFonts w:eastAsia="宋体"/>
              <w:sz w:val="24"/>
            </w:rPr>
            <w:tab/>
          </w:r>
          <w:r>
            <w:rPr>
              <w:rFonts w:eastAsia="宋体"/>
              <w:sz w:val="24"/>
            </w:rPr>
            <w:fldChar w:fldCharType="begin"/>
          </w:r>
          <w:r>
            <w:rPr>
              <w:rFonts w:eastAsia="宋体"/>
              <w:sz w:val="24"/>
            </w:rPr>
            <w:instrText xml:space="preserve"> PAGEREF _Toc4528 \h </w:instrText>
          </w:r>
          <w:r>
            <w:rPr>
              <w:rFonts w:eastAsia="宋体"/>
              <w:sz w:val="24"/>
            </w:rPr>
            <w:fldChar w:fldCharType="separate"/>
          </w:r>
          <w:r>
            <w:rPr>
              <w:rFonts w:eastAsia="宋体"/>
              <w:sz w:val="24"/>
            </w:rPr>
            <w:t>30</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_Toc19682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（三）中西部地区分布</w:t>
          </w:r>
          <w:r>
            <w:rPr>
              <w:rFonts w:eastAsia="宋体"/>
              <w:sz w:val="24"/>
            </w:rPr>
            <w:tab/>
          </w:r>
          <w:r>
            <w:rPr>
              <w:rFonts w:eastAsia="宋体"/>
              <w:sz w:val="24"/>
            </w:rPr>
            <w:fldChar w:fldCharType="begin"/>
          </w:r>
          <w:r>
            <w:rPr>
              <w:rFonts w:eastAsia="宋体"/>
              <w:sz w:val="24"/>
            </w:rPr>
            <w:instrText xml:space="preserve"> PAGEREF _Toc19682 \h </w:instrText>
          </w:r>
          <w:r>
            <w:rPr>
              <w:rFonts w:eastAsia="宋体"/>
              <w:sz w:val="24"/>
            </w:rPr>
            <w:fldChar w:fldCharType="separate"/>
          </w:r>
          <w:r>
            <w:rPr>
              <w:rFonts w:eastAsia="宋体"/>
              <w:sz w:val="24"/>
            </w:rPr>
            <w:t>31</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_Toc12527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（四）国家战略区域分布</w:t>
          </w:r>
          <w:r>
            <w:rPr>
              <w:rFonts w:eastAsia="宋体"/>
              <w:sz w:val="24"/>
            </w:rPr>
            <w:tab/>
          </w:r>
          <w:r>
            <w:rPr>
              <w:rFonts w:eastAsia="宋体"/>
              <w:sz w:val="24"/>
            </w:rPr>
            <w:fldChar w:fldCharType="begin"/>
          </w:r>
          <w:r>
            <w:rPr>
              <w:rFonts w:eastAsia="宋体"/>
              <w:sz w:val="24"/>
            </w:rPr>
            <w:instrText xml:space="preserve"> PAGEREF _Toc12527 \h </w:instrText>
          </w:r>
          <w:r>
            <w:rPr>
              <w:rFonts w:eastAsia="宋体"/>
              <w:sz w:val="24"/>
            </w:rPr>
            <w:fldChar w:fldCharType="separate"/>
          </w:r>
          <w:r>
            <w:rPr>
              <w:rFonts w:eastAsia="宋体"/>
              <w:sz w:val="24"/>
            </w:rPr>
            <w:t>31</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_Toc13450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二、毕业生就业行业分布</w:t>
          </w:r>
          <w:r>
            <w:rPr>
              <w:rFonts w:eastAsia="宋体"/>
              <w:sz w:val="24"/>
            </w:rPr>
            <w:tab/>
          </w:r>
          <w:r>
            <w:rPr>
              <w:rFonts w:eastAsia="宋体"/>
              <w:sz w:val="24"/>
            </w:rPr>
            <w:fldChar w:fldCharType="begin"/>
          </w:r>
          <w:r>
            <w:rPr>
              <w:rFonts w:eastAsia="宋体"/>
              <w:sz w:val="24"/>
            </w:rPr>
            <w:instrText xml:space="preserve"> PAGEREF _Toc13450 \h </w:instrText>
          </w:r>
          <w:r>
            <w:rPr>
              <w:rFonts w:eastAsia="宋体"/>
              <w:sz w:val="24"/>
            </w:rPr>
            <w:fldChar w:fldCharType="separate"/>
          </w:r>
          <w:r>
            <w:rPr>
              <w:rFonts w:eastAsia="宋体"/>
              <w:sz w:val="24"/>
            </w:rPr>
            <w:t>34</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三、毕业生就业职业分布</w:t>
          </w:r>
          <w:r>
            <w:rPr>
              <w:rFonts w:eastAsia="宋体"/>
              <w:sz w:val="24"/>
            </w:rPr>
            <w:tab/>
          </w:r>
          <w:r>
            <w:rPr>
              <w:rFonts w:eastAsia="宋体"/>
              <w:sz w:val="24"/>
            </w:rPr>
            <w:fldChar w:fldCharType="begin"/>
          </w:r>
          <w:r>
            <w:rPr>
              <w:rFonts w:eastAsia="宋体"/>
              <w:sz w:val="24"/>
            </w:rPr>
            <w:instrText xml:space="preserve"> PAGEREF _Toc2145 \h </w:instrText>
          </w:r>
          <w:r>
            <w:rPr>
              <w:rFonts w:eastAsia="宋体"/>
              <w:sz w:val="24"/>
            </w:rPr>
            <w:fldChar w:fldCharType="separate"/>
          </w:r>
          <w:r>
            <w:rPr>
              <w:rFonts w:eastAsia="宋体"/>
              <w:sz w:val="24"/>
            </w:rPr>
            <w:t>38</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_Toc26390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四、毕业生就业单位性质分布</w:t>
          </w:r>
          <w:r>
            <w:rPr>
              <w:rFonts w:eastAsia="宋体"/>
              <w:sz w:val="24"/>
            </w:rPr>
            <w:tab/>
          </w:r>
          <w:r>
            <w:rPr>
              <w:rFonts w:eastAsia="宋体"/>
              <w:sz w:val="24"/>
            </w:rPr>
            <w:fldChar w:fldCharType="begin"/>
          </w:r>
          <w:r>
            <w:rPr>
              <w:rFonts w:eastAsia="宋体"/>
              <w:sz w:val="24"/>
            </w:rPr>
            <w:instrText xml:space="preserve"> PAGEREF _Toc26390 \h </w:instrText>
          </w:r>
          <w:r>
            <w:rPr>
              <w:rFonts w:eastAsia="宋体"/>
              <w:sz w:val="24"/>
            </w:rPr>
            <w:fldChar w:fldCharType="separate"/>
          </w:r>
          <w:r>
            <w:rPr>
              <w:rFonts w:eastAsia="宋体"/>
              <w:sz w:val="24"/>
            </w:rPr>
            <w:t>42</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_Toc6590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五、毕业生就业单位规模分布</w:t>
          </w:r>
          <w:r>
            <w:rPr>
              <w:rFonts w:eastAsia="宋体"/>
              <w:sz w:val="24"/>
            </w:rPr>
            <w:tab/>
          </w:r>
          <w:r>
            <w:rPr>
              <w:rFonts w:eastAsia="宋体"/>
              <w:sz w:val="24"/>
            </w:rPr>
            <w:fldChar w:fldCharType="begin"/>
          </w:r>
          <w:r>
            <w:rPr>
              <w:rFonts w:eastAsia="宋体"/>
              <w:sz w:val="24"/>
            </w:rPr>
            <w:instrText xml:space="preserve"> PAGEREF _Toc6590 \h </w:instrText>
          </w:r>
          <w:r>
            <w:rPr>
              <w:rFonts w:eastAsia="宋体"/>
              <w:sz w:val="24"/>
            </w:rPr>
            <w:fldChar w:fldCharType="separate"/>
          </w:r>
          <w:r>
            <w:rPr>
              <w:rFonts w:eastAsia="宋体"/>
              <w:sz w:val="24"/>
            </w:rPr>
            <w:t>46</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_Toc15651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六、山西省特色分析</w:t>
          </w:r>
          <w:r>
            <w:rPr>
              <w:rFonts w:eastAsia="宋体"/>
              <w:sz w:val="24"/>
            </w:rPr>
            <w:tab/>
          </w:r>
          <w:r>
            <w:rPr>
              <w:rFonts w:eastAsia="宋体"/>
              <w:sz w:val="24"/>
            </w:rPr>
            <w:fldChar w:fldCharType="begin"/>
          </w:r>
          <w:r>
            <w:rPr>
              <w:rFonts w:eastAsia="宋体"/>
              <w:sz w:val="24"/>
            </w:rPr>
            <w:instrText xml:space="preserve"> PAGEREF _Toc15651 \h </w:instrText>
          </w:r>
          <w:r>
            <w:rPr>
              <w:rFonts w:eastAsia="宋体"/>
              <w:sz w:val="24"/>
            </w:rPr>
            <w:fldChar w:fldCharType="separate"/>
          </w:r>
          <w:r>
            <w:rPr>
              <w:rFonts w:eastAsia="宋体"/>
              <w:sz w:val="24"/>
            </w:rPr>
            <w:t>47</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_Toc27081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PART 04  就业创业工作举措</w:t>
          </w:r>
          <w:r>
            <w:rPr>
              <w:rFonts w:eastAsia="宋体"/>
              <w:sz w:val="24"/>
            </w:rPr>
            <w:tab/>
          </w:r>
          <w:r>
            <w:rPr>
              <w:rFonts w:eastAsia="宋体"/>
              <w:sz w:val="24"/>
            </w:rPr>
            <w:fldChar w:fldCharType="begin"/>
          </w:r>
          <w:r>
            <w:rPr>
              <w:rFonts w:eastAsia="宋体"/>
              <w:sz w:val="24"/>
            </w:rPr>
            <w:instrText xml:space="preserve"> PAGEREF _Toc27081 \h </w:instrText>
          </w:r>
          <w:r>
            <w:rPr>
              <w:rFonts w:eastAsia="宋体"/>
              <w:sz w:val="24"/>
            </w:rPr>
            <w:fldChar w:fldCharType="separate"/>
          </w:r>
          <w:r>
            <w:rPr>
              <w:rFonts w:eastAsia="宋体"/>
              <w:sz w:val="24"/>
            </w:rPr>
            <w:t>48</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w:t>
          </w:r>
          <w:r>
            <w:rPr>
              <w:rFonts w:hint="default" w:ascii="Times New Roman" w:hAnsi="Times New Roman" w:eastAsia="宋体" w:cs="Times New Roman"/>
              <w:sz w:val="24"/>
              <w:lang w:val="zh-CN"/>
            </w:rPr>
            <w:t>、切实加强组织领导</w:t>
          </w:r>
          <w:r>
            <w:rPr>
              <w:rFonts w:eastAsia="宋体"/>
              <w:sz w:val="24"/>
            </w:rPr>
            <w:tab/>
          </w:r>
          <w:r>
            <w:rPr>
              <w:rFonts w:eastAsia="宋体"/>
              <w:sz w:val="24"/>
            </w:rPr>
            <w:fldChar w:fldCharType="begin"/>
          </w:r>
          <w:r>
            <w:rPr>
              <w:rFonts w:eastAsia="宋体"/>
              <w:sz w:val="24"/>
            </w:rPr>
            <w:instrText xml:space="preserve"> PAGEREF _Toc1153 \h </w:instrText>
          </w:r>
          <w:r>
            <w:rPr>
              <w:rFonts w:eastAsia="宋体"/>
              <w:sz w:val="24"/>
            </w:rPr>
            <w:fldChar w:fldCharType="separate"/>
          </w:r>
          <w:r>
            <w:rPr>
              <w:rFonts w:eastAsia="宋体"/>
              <w:sz w:val="24"/>
            </w:rPr>
            <w:t>48</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_Toc25295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w:t>
          </w:r>
          <w:r>
            <w:rPr>
              <w:rFonts w:hint="default" w:ascii="Times New Roman" w:hAnsi="Times New Roman" w:eastAsia="宋体" w:cs="Times New Roman"/>
              <w:sz w:val="24"/>
              <w:lang w:val="zh-CN"/>
            </w:rPr>
            <w:t>、加大市场化社会化就业渠道开拓力度</w:t>
          </w:r>
          <w:r>
            <w:rPr>
              <w:rFonts w:eastAsia="宋体"/>
              <w:sz w:val="24"/>
            </w:rPr>
            <w:tab/>
          </w:r>
          <w:r>
            <w:rPr>
              <w:rFonts w:eastAsia="宋体"/>
              <w:sz w:val="24"/>
            </w:rPr>
            <w:fldChar w:fldCharType="begin"/>
          </w:r>
          <w:r>
            <w:rPr>
              <w:rFonts w:eastAsia="宋体"/>
              <w:sz w:val="24"/>
            </w:rPr>
            <w:instrText xml:space="preserve"> PAGEREF _Toc25295 \h </w:instrText>
          </w:r>
          <w:r>
            <w:rPr>
              <w:rFonts w:eastAsia="宋体"/>
              <w:sz w:val="24"/>
            </w:rPr>
            <w:fldChar w:fldCharType="separate"/>
          </w:r>
          <w:r>
            <w:rPr>
              <w:rFonts w:eastAsia="宋体"/>
              <w:sz w:val="24"/>
            </w:rPr>
            <w:t>49</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_Toc19257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w:t>
          </w:r>
          <w:r>
            <w:rPr>
              <w:rFonts w:hint="default" w:ascii="Times New Roman" w:hAnsi="Times New Roman" w:eastAsia="宋体" w:cs="Times New Roman"/>
              <w:sz w:val="24"/>
              <w:lang w:val="zh-CN"/>
            </w:rPr>
            <w:t>、用足用好各类政策性岗位</w:t>
          </w:r>
          <w:r>
            <w:rPr>
              <w:rFonts w:eastAsia="宋体"/>
              <w:sz w:val="24"/>
            </w:rPr>
            <w:tab/>
          </w:r>
          <w:r>
            <w:rPr>
              <w:rFonts w:eastAsia="宋体"/>
              <w:sz w:val="24"/>
            </w:rPr>
            <w:fldChar w:fldCharType="begin"/>
          </w:r>
          <w:r>
            <w:rPr>
              <w:rFonts w:eastAsia="宋体"/>
              <w:sz w:val="24"/>
            </w:rPr>
            <w:instrText xml:space="preserve"> PAGEREF _Toc19257 \h </w:instrText>
          </w:r>
          <w:r>
            <w:rPr>
              <w:rFonts w:eastAsia="宋体"/>
              <w:sz w:val="24"/>
            </w:rPr>
            <w:fldChar w:fldCharType="separate"/>
          </w:r>
          <w:r>
            <w:rPr>
              <w:rFonts w:eastAsia="宋体"/>
              <w:sz w:val="24"/>
            </w:rPr>
            <w:t>50</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_Toc7149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四</w:t>
          </w:r>
          <w:r>
            <w:rPr>
              <w:rFonts w:hint="default" w:ascii="Times New Roman" w:hAnsi="Times New Roman" w:eastAsia="宋体" w:cs="Times New Roman"/>
              <w:sz w:val="24"/>
              <w:lang w:val="zh-CN"/>
            </w:rPr>
            <w:t>、健全高质量就业指导服务体系</w:t>
          </w:r>
          <w:r>
            <w:rPr>
              <w:rFonts w:eastAsia="宋体"/>
              <w:sz w:val="24"/>
            </w:rPr>
            <w:tab/>
          </w:r>
          <w:r>
            <w:rPr>
              <w:rFonts w:eastAsia="宋体"/>
              <w:sz w:val="24"/>
            </w:rPr>
            <w:fldChar w:fldCharType="begin"/>
          </w:r>
          <w:r>
            <w:rPr>
              <w:rFonts w:eastAsia="宋体"/>
              <w:sz w:val="24"/>
            </w:rPr>
            <w:instrText xml:space="preserve"> PAGEREF _Toc7149 \h </w:instrText>
          </w:r>
          <w:r>
            <w:rPr>
              <w:rFonts w:eastAsia="宋体"/>
              <w:sz w:val="24"/>
            </w:rPr>
            <w:fldChar w:fldCharType="separate"/>
          </w:r>
          <w:r>
            <w:rPr>
              <w:rFonts w:eastAsia="宋体"/>
              <w:sz w:val="24"/>
            </w:rPr>
            <w:t>50</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_Toc4135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五</w:t>
          </w:r>
          <w:r>
            <w:rPr>
              <w:rFonts w:hint="default" w:ascii="Times New Roman" w:hAnsi="Times New Roman" w:eastAsia="宋体" w:cs="Times New Roman"/>
              <w:sz w:val="24"/>
              <w:lang w:val="zh-CN"/>
            </w:rPr>
            <w:t>、持续开展重点群体就业帮扶</w:t>
          </w:r>
          <w:r>
            <w:rPr>
              <w:rFonts w:eastAsia="宋体"/>
              <w:sz w:val="24"/>
            </w:rPr>
            <w:tab/>
          </w:r>
          <w:r>
            <w:rPr>
              <w:rFonts w:eastAsia="宋体"/>
              <w:sz w:val="24"/>
            </w:rPr>
            <w:fldChar w:fldCharType="begin"/>
          </w:r>
          <w:r>
            <w:rPr>
              <w:rFonts w:eastAsia="宋体"/>
              <w:sz w:val="24"/>
            </w:rPr>
            <w:instrText xml:space="preserve"> PAGEREF _Toc4135 \h </w:instrText>
          </w:r>
          <w:r>
            <w:rPr>
              <w:rFonts w:eastAsia="宋体"/>
              <w:sz w:val="24"/>
            </w:rPr>
            <w:fldChar w:fldCharType="separate"/>
          </w:r>
          <w:r>
            <w:rPr>
              <w:rFonts w:eastAsia="宋体"/>
              <w:sz w:val="24"/>
            </w:rPr>
            <w:t>51</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_Toc13287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六</w:t>
          </w:r>
          <w:r>
            <w:rPr>
              <w:rFonts w:hint="default" w:ascii="Times New Roman" w:hAnsi="Times New Roman" w:eastAsia="宋体" w:cs="Times New Roman"/>
              <w:sz w:val="24"/>
              <w:lang w:val="zh-CN"/>
            </w:rPr>
            <w:t>、简化优化求职就业手续</w:t>
          </w:r>
          <w:r>
            <w:rPr>
              <w:rFonts w:eastAsia="宋体"/>
              <w:sz w:val="24"/>
            </w:rPr>
            <w:tab/>
          </w:r>
          <w:r>
            <w:rPr>
              <w:rFonts w:eastAsia="宋体"/>
              <w:sz w:val="24"/>
            </w:rPr>
            <w:fldChar w:fldCharType="begin"/>
          </w:r>
          <w:r>
            <w:rPr>
              <w:rFonts w:eastAsia="宋体"/>
              <w:sz w:val="24"/>
            </w:rPr>
            <w:instrText xml:space="preserve"> PAGEREF _Toc13287 \h </w:instrText>
          </w:r>
          <w:r>
            <w:rPr>
              <w:rFonts w:eastAsia="宋体"/>
              <w:sz w:val="24"/>
            </w:rPr>
            <w:fldChar w:fldCharType="separate"/>
          </w:r>
          <w:r>
            <w:rPr>
              <w:rFonts w:eastAsia="宋体"/>
              <w:sz w:val="24"/>
            </w:rPr>
            <w:t>51</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_Toc27919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七</w:t>
          </w:r>
          <w:r>
            <w:rPr>
              <w:rFonts w:hint="default" w:ascii="Times New Roman" w:hAnsi="Times New Roman" w:eastAsia="宋体" w:cs="Times New Roman"/>
              <w:sz w:val="24"/>
              <w:lang w:val="zh-CN"/>
            </w:rPr>
            <w:t>、完善招生与就业联动机制</w:t>
          </w:r>
          <w:r>
            <w:rPr>
              <w:rFonts w:eastAsia="宋体"/>
              <w:sz w:val="24"/>
            </w:rPr>
            <w:tab/>
          </w:r>
          <w:r>
            <w:rPr>
              <w:rFonts w:eastAsia="宋体"/>
              <w:sz w:val="24"/>
            </w:rPr>
            <w:fldChar w:fldCharType="begin"/>
          </w:r>
          <w:r>
            <w:rPr>
              <w:rFonts w:eastAsia="宋体"/>
              <w:sz w:val="24"/>
            </w:rPr>
            <w:instrText xml:space="preserve"> PAGEREF _Toc27919 \h </w:instrText>
          </w:r>
          <w:r>
            <w:rPr>
              <w:rFonts w:eastAsia="宋体"/>
              <w:sz w:val="24"/>
            </w:rPr>
            <w:fldChar w:fldCharType="separate"/>
          </w:r>
          <w:r>
            <w:rPr>
              <w:rFonts w:eastAsia="宋体"/>
              <w:sz w:val="24"/>
            </w:rPr>
            <w:t>52</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_Toc9041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八、强化监督检查，落实毕业生就业创业各项工作任务</w:t>
          </w:r>
          <w:r>
            <w:rPr>
              <w:rFonts w:eastAsia="宋体"/>
              <w:sz w:val="24"/>
            </w:rPr>
            <w:tab/>
          </w:r>
          <w:r>
            <w:rPr>
              <w:rFonts w:eastAsia="宋体"/>
              <w:sz w:val="24"/>
            </w:rPr>
            <w:fldChar w:fldCharType="begin"/>
          </w:r>
          <w:r>
            <w:rPr>
              <w:rFonts w:eastAsia="宋体"/>
              <w:sz w:val="24"/>
            </w:rPr>
            <w:instrText xml:space="preserve"> PAGEREF _Toc9041 \h </w:instrText>
          </w:r>
          <w:r>
            <w:rPr>
              <w:rFonts w:eastAsia="宋体"/>
              <w:sz w:val="24"/>
            </w:rPr>
            <w:fldChar w:fldCharType="separate"/>
          </w:r>
          <w:r>
            <w:rPr>
              <w:rFonts w:eastAsia="宋体"/>
              <w:sz w:val="24"/>
            </w:rPr>
            <w:t>52</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_Toc11913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PART 05  就业相关分析</w:t>
          </w:r>
          <w:r>
            <w:rPr>
              <w:rFonts w:eastAsia="宋体"/>
              <w:sz w:val="24"/>
            </w:rPr>
            <w:tab/>
          </w:r>
          <w:r>
            <w:rPr>
              <w:rFonts w:eastAsia="宋体"/>
              <w:sz w:val="24"/>
            </w:rPr>
            <w:fldChar w:fldCharType="begin"/>
          </w:r>
          <w:r>
            <w:rPr>
              <w:rFonts w:eastAsia="宋体"/>
              <w:sz w:val="24"/>
            </w:rPr>
            <w:instrText xml:space="preserve"> PAGEREF _Toc11913 \h </w:instrText>
          </w:r>
          <w:r>
            <w:rPr>
              <w:rFonts w:eastAsia="宋体"/>
              <w:sz w:val="24"/>
            </w:rPr>
            <w:fldChar w:fldCharType="separate"/>
          </w:r>
          <w:r>
            <w:rPr>
              <w:rFonts w:eastAsia="宋体"/>
              <w:sz w:val="24"/>
            </w:rPr>
            <w:t>53</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_Toc18773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一、就业机会</w:t>
          </w:r>
          <w:r>
            <w:rPr>
              <w:rFonts w:eastAsia="宋体"/>
              <w:sz w:val="24"/>
            </w:rPr>
            <w:tab/>
          </w:r>
          <w:r>
            <w:rPr>
              <w:rFonts w:eastAsia="宋体"/>
              <w:sz w:val="24"/>
            </w:rPr>
            <w:fldChar w:fldCharType="begin"/>
          </w:r>
          <w:r>
            <w:rPr>
              <w:rFonts w:eastAsia="宋体"/>
              <w:sz w:val="24"/>
            </w:rPr>
            <w:instrText xml:space="preserve"> PAGEREF _Toc18773 \h </w:instrText>
          </w:r>
          <w:r>
            <w:rPr>
              <w:rFonts w:eastAsia="宋体"/>
              <w:sz w:val="24"/>
            </w:rPr>
            <w:fldChar w:fldCharType="separate"/>
          </w:r>
          <w:r>
            <w:rPr>
              <w:rFonts w:eastAsia="宋体"/>
              <w:sz w:val="24"/>
            </w:rPr>
            <w:t>53</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_Toc12359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二、专业相关度</w:t>
          </w:r>
          <w:r>
            <w:rPr>
              <w:rFonts w:eastAsia="宋体"/>
              <w:sz w:val="24"/>
            </w:rPr>
            <w:tab/>
          </w:r>
          <w:r>
            <w:rPr>
              <w:rFonts w:eastAsia="宋体"/>
              <w:sz w:val="24"/>
            </w:rPr>
            <w:fldChar w:fldCharType="begin"/>
          </w:r>
          <w:r>
            <w:rPr>
              <w:rFonts w:eastAsia="宋体"/>
              <w:sz w:val="24"/>
            </w:rPr>
            <w:instrText xml:space="preserve"> PAGEREF _Toc12359 \h </w:instrText>
          </w:r>
          <w:r>
            <w:rPr>
              <w:rFonts w:eastAsia="宋体"/>
              <w:sz w:val="24"/>
            </w:rPr>
            <w:fldChar w:fldCharType="separate"/>
          </w:r>
          <w:r>
            <w:rPr>
              <w:rFonts w:eastAsia="宋体"/>
              <w:sz w:val="24"/>
            </w:rPr>
            <w:t>55</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三、工作满意度</w:t>
          </w:r>
          <w:r>
            <w:rPr>
              <w:rFonts w:eastAsia="宋体"/>
              <w:sz w:val="24"/>
            </w:rPr>
            <w:tab/>
          </w:r>
          <w:r>
            <w:rPr>
              <w:rFonts w:eastAsia="宋体"/>
              <w:sz w:val="24"/>
            </w:rPr>
            <w:fldChar w:fldCharType="begin"/>
          </w:r>
          <w:r>
            <w:rPr>
              <w:rFonts w:eastAsia="宋体"/>
              <w:sz w:val="24"/>
            </w:rPr>
            <w:instrText xml:space="preserve"> PAGEREF _Toc20320 \h </w:instrText>
          </w:r>
          <w:r>
            <w:rPr>
              <w:rFonts w:eastAsia="宋体"/>
              <w:sz w:val="24"/>
            </w:rPr>
            <w:fldChar w:fldCharType="separate"/>
          </w:r>
          <w:r>
            <w:rPr>
              <w:rFonts w:eastAsia="宋体"/>
              <w:sz w:val="24"/>
            </w:rPr>
            <w:t>59</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_Toc18551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四、岗位适应性</w:t>
          </w:r>
          <w:r>
            <w:rPr>
              <w:rFonts w:eastAsia="宋体"/>
              <w:sz w:val="24"/>
            </w:rPr>
            <w:tab/>
          </w:r>
          <w:r>
            <w:rPr>
              <w:rFonts w:eastAsia="宋体"/>
              <w:sz w:val="24"/>
            </w:rPr>
            <w:fldChar w:fldCharType="begin"/>
          </w:r>
          <w:r>
            <w:rPr>
              <w:rFonts w:eastAsia="宋体"/>
              <w:sz w:val="24"/>
            </w:rPr>
            <w:instrText xml:space="preserve"> PAGEREF _Toc18551 \h </w:instrText>
          </w:r>
          <w:r>
            <w:rPr>
              <w:rFonts w:eastAsia="宋体"/>
              <w:sz w:val="24"/>
            </w:rPr>
            <w:fldChar w:fldCharType="separate"/>
          </w:r>
          <w:r>
            <w:rPr>
              <w:rFonts w:eastAsia="宋体"/>
              <w:sz w:val="24"/>
            </w:rPr>
            <w:t>62</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_Toc9080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五、工作胜任度</w:t>
          </w:r>
          <w:r>
            <w:rPr>
              <w:rFonts w:eastAsia="宋体"/>
              <w:sz w:val="24"/>
            </w:rPr>
            <w:tab/>
          </w:r>
          <w:r>
            <w:rPr>
              <w:rFonts w:eastAsia="宋体"/>
              <w:sz w:val="24"/>
            </w:rPr>
            <w:fldChar w:fldCharType="begin"/>
          </w:r>
          <w:r>
            <w:rPr>
              <w:rFonts w:eastAsia="宋体"/>
              <w:sz w:val="24"/>
            </w:rPr>
            <w:instrText xml:space="preserve"> PAGEREF _Toc9080 \h </w:instrText>
          </w:r>
          <w:r>
            <w:rPr>
              <w:rFonts w:eastAsia="宋体"/>
              <w:sz w:val="24"/>
            </w:rPr>
            <w:fldChar w:fldCharType="separate"/>
          </w:r>
          <w:r>
            <w:rPr>
              <w:rFonts w:eastAsia="宋体"/>
              <w:sz w:val="24"/>
            </w:rPr>
            <w:t>65</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_Toc9045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六、职业期待吻合度</w:t>
          </w:r>
          <w:r>
            <w:rPr>
              <w:rFonts w:eastAsia="宋体"/>
              <w:sz w:val="24"/>
            </w:rPr>
            <w:tab/>
          </w:r>
          <w:r>
            <w:rPr>
              <w:rFonts w:eastAsia="宋体"/>
              <w:sz w:val="24"/>
            </w:rPr>
            <w:fldChar w:fldCharType="begin"/>
          </w:r>
          <w:r>
            <w:rPr>
              <w:rFonts w:eastAsia="宋体"/>
              <w:sz w:val="24"/>
            </w:rPr>
            <w:instrText xml:space="preserve"> PAGEREF _Toc9045 \h </w:instrText>
          </w:r>
          <w:r>
            <w:rPr>
              <w:rFonts w:eastAsia="宋体"/>
              <w:sz w:val="24"/>
            </w:rPr>
            <w:fldChar w:fldCharType="separate"/>
          </w:r>
          <w:r>
            <w:rPr>
              <w:rFonts w:eastAsia="宋体"/>
              <w:sz w:val="24"/>
            </w:rPr>
            <w:t>68</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七、工作稳定性</w:t>
          </w:r>
          <w:r>
            <w:rPr>
              <w:rFonts w:eastAsia="宋体"/>
              <w:sz w:val="24"/>
            </w:rPr>
            <w:tab/>
          </w:r>
          <w:r>
            <w:rPr>
              <w:rFonts w:eastAsia="宋体"/>
              <w:sz w:val="24"/>
            </w:rPr>
            <w:fldChar w:fldCharType="begin"/>
          </w:r>
          <w:r>
            <w:rPr>
              <w:rFonts w:eastAsia="宋体"/>
              <w:sz w:val="24"/>
            </w:rPr>
            <w:instrText xml:space="preserve"> PAGEREF _Toc1550 \h </w:instrText>
          </w:r>
          <w:r>
            <w:rPr>
              <w:rFonts w:eastAsia="宋体"/>
              <w:sz w:val="24"/>
            </w:rPr>
            <w:fldChar w:fldCharType="separate"/>
          </w:r>
          <w:r>
            <w:rPr>
              <w:rFonts w:eastAsia="宋体"/>
              <w:sz w:val="24"/>
            </w:rPr>
            <w:t>71</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_Toc14374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（一）工作稳定性</w:t>
          </w:r>
          <w:r>
            <w:rPr>
              <w:rFonts w:eastAsia="宋体"/>
              <w:sz w:val="24"/>
            </w:rPr>
            <w:tab/>
          </w:r>
          <w:r>
            <w:rPr>
              <w:rFonts w:eastAsia="宋体"/>
              <w:sz w:val="24"/>
            </w:rPr>
            <w:fldChar w:fldCharType="begin"/>
          </w:r>
          <w:r>
            <w:rPr>
              <w:rFonts w:eastAsia="宋体"/>
              <w:sz w:val="24"/>
            </w:rPr>
            <w:instrText xml:space="preserve"> PAGEREF _Toc14374 \h </w:instrText>
          </w:r>
          <w:r>
            <w:rPr>
              <w:rFonts w:eastAsia="宋体"/>
              <w:sz w:val="24"/>
            </w:rPr>
            <w:fldChar w:fldCharType="separate"/>
          </w:r>
          <w:r>
            <w:rPr>
              <w:rFonts w:eastAsia="宋体"/>
              <w:sz w:val="24"/>
            </w:rPr>
            <w:t>71</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（二）预期工作稳定性</w:t>
          </w:r>
          <w:r>
            <w:rPr>
              <w:rFonts w:eastAsia="宋体"/>
              <w:sz w:val="24"/>
            </w:rPr>
            <w:tab/>
          </w:r>
          <w:r>
            <w:rPr>
              <w:rFonts w:eastAsia="宋体"/>
              <w:sz w:val="24"/>
            </w:rPr>
            <w:fldChar w:fldCharType="begin"/>
          </w:r>
          <w:r>
            <w:rPr>
              <w:rFonts w:eastAsia="宋体"/>
              <w:sz w:val="24"/>
            </w:rPr>
            <w:instrText xml:space="preserve"> PAGEREF _Toc20355 \h </w:instrText>
          </w:r>
          <w:r>
            <w:rPr>
              <w:rFonts w:eastAsia="宋体"/>
              <w:sz w:val="24"/>
            </w:rPr>
            <w:fldChar w:fldCharType="separate"/>
          </w:r>
          <w:r>
            <w:rPr>
              <w:rFonts w:eastAsia="宋体"/>
              <w:sz w:val="24"/>
            </w:rPr>
            <w:t>74</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八、社会保障度</w:t>
          </w:r>
          <w:r>
            <w:rPr>
              <w:rFonts w:eastAsia="宋体"/>
              <w:sz w:val="24"/>
            </w:rPr>
            <w:tab/>
          </w:r>
          <w:r>
            <w:rPr>
              <w:rFonts w:eastAsia="宋体"/>
              <w:sz w:val="24"/>
            </w:rPr>
            <w:fldChar w:fldCharType="begin"/>
          </w:r>
          <w:r>
            <w:rPr>
              <w:rFonts w:eastAsia="宋体"/>
              <w:sz w:val="24"/>
            </w:rPr>
            <w:instrText xml:space="preserve"> PAGEREF _Toc2867 \h </w:instrText>
          </w:r>
          <w:r>
            <w:rPr>
              <w:rFonts w:eastAsia="宋体"/>
              <w:sz w:val="24"/>
            </w:rPr>
            <w:fldChar w:fldCharType="separate"/>
          </w:r>
          <w:r>
            <w:rPr>
              <w:rFonts w:eastAsia="宋体"/>
              <w:sz w:val="24"/>
            </w:rPr>
            <w:t>77</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_Toc29372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九、求职分析</w:t>
          </w:r>
          <w:r>
            <w:rPr>
              <w:rFonts w:eastAsia="宋体"/>
              <w:sz w:val="24"/>
            </w:rPr>
            <w:tab/>
          </w:r>
          <w:r>
            <w:rPr>
              <w:rFonts w:eastAsia="宋体"/>
              <w:sz w:val="24"/>
            </w:rPr>
            <w:fldChar w:fldCharType="begin"/>
          </w:r>
          <w:r>
            <w:rPr>
              <w:rFonts w:eastAsia="宋体"/>
              <w:sz w:val="24"/>
            </w:rPr>
            <w:instrText xml:space="preserve"> PAGEREF _Toc29372 \h </w:instrText>
          </w:r>
          <w:r>
            <w:rPr>
              <w:rFonts w:eastAsia="宋体"/>
              <w:sz w:val="24"/>
            </w:rPr>
            <w:fldChar w:fldCharType="separate"/>
          </w:r>
          <w:r>
            <w:rPr>
              <w:rFonts w:eastAsia="宋体"/>
              <w:sz w:val="24"/>
            </w:rPr>
            <w:t>79</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_Toc19586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（一）求职成功途径</w:t>
          </w:r>
          <w:r>
            <w:rPr>
              <w:rFonts w:eastAsia="宋体"/>
              <w:sz w:val="24"/>
            </w:rPr>
            <w:tab/>
          </w:r>
          <w:r>
            <w:rPr>
              <w:rFonts w:eastAsia="宋体"/>
              <w:sz w:val="24"/>
            </w:rPr>
            <w:fldChar w:fldCharType="begin"/>
          </w:r>
          <w:r>
            <w:rPr>
              <w:rFonts w:eastAsia="宋体"/>
              <w:sz w:val="24"/>
            </w:rPr>
            <w:instrText xml:space="preserve"> PAGEREF _Toc19586 \h </w:instrText>
          </w:r>
          <w:r>
            <w:rPr>
              <w:rFonts w:eastAsia="宋体"/>
              <w:sz w:val="24"/>
            </w:rPr>
            <w:fldChar w:fldCharType="separate"/>
          </w:r>
          <w:r>
            <w:rPr>
              <w:rFonts w:eastAsia="宋体"/>
              <w:sz w:val="24"/>
            </w:rPr>
            <w:t>79</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_Toc11645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（二）求职过程分析</w:t>
          </w:r>
          <w:r>
            <w:rPr>
              <w:rFonts w:eastAsia="宋体"/>
              <w:sz w:val="24"/>
            </w:rPr>
            <w:tab/>
          </w:r>
          <w:r>
            <w:rPr>
              <w:rFonts w:eastAsia="宋体"/>
              <w:sz w:val="24"/>
            </w:rPr>
            <w:fldChar w:fldCharType="begin"/>
          </w:r>
          <w:r>
            <w:rPr>
              <w:rFonts w:eastAsia="宋体"/>
              <w:sz w:val="24"/>
            </w:rPr>
            <w:instrText xml:space="preserve"> PAGEREF _Toc11645 \h </w:instrText>
          </w:r>
          <w:r>
            <w:rPr>
              <w:rFonts w:eastAsia="宋体"/>
              <w:sz w:val="24"/>
            </w:rPr>
            <w:fldChar w:fldCharType="separate"/>
          </w:r>
          <w:r>
            <w:rPr>
              <w:rFonts w:eastAsia="宋体"/>
              <w:sz w:val="24"/>
            </w:rPr>
            <w:t>80</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_Toc8534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（三）求职成功关键因素</w:t>
          </w:r>
          <w:r>
            <w:rPr>
              <w:rFonts w:eastAsia="宋体"/>
              <w:sz w:val="24"/>
            </w:rPr>
            <w:tab/>
          </w:r>
          <w:r>
            <w:rPr>
              <w:rFonts w:eastAsia="宋体"/>
              <w:sz w:val="24"/>
            </w:rPr>
            <w:fldChar w:fldCharType="begin"/>
          </w:r>
          <w:r>
            <w:rPr>
              <w:rFonts w:eastAsia="宋体"/>
              <w:sz w:val="24"/>
            </w:rPr>
            <w:instrText xml:space="preserve"> PAGEREF _Toc8534 \h </w:instrText>
          </w:r>
          <w:r>
            <w:rPr>
              <w:rFonts w:eastAsia="宋体"/>
              <w:sz w:val="24"/>
            </w:rPr>
            <w:fldChar w:fldCharType="separate"/>
          </w:r>
          <w:r>
            <w:rPr>
              <w:rFonts w:eastAsia="宋体"/>
              <w:sz w:val="24"/>
            </w:rPr>
            <w:t>80</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_Toc7260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（四）求职价值观</w:t>
          </w:r>
          <w:r>
            <w:rPr>
              <w:rFonts w:eastAsia="宋体"/>
              <w:sz w:val="24"/>
            </w:rPr>
            <w:tab/>
          </w:r>
          <w:r>
            <w:rPr>
              <w:rFonts w:eastAsia="宋体"/>
              <w:sz w:val="24"/>
            </w:rPr>
            <w:fldChar w:fldCharType="begin"/>
          </w:r>
          <w:r>
            <w:rPr>
              <w:rFonts w:eastAsia="宋体"/>
              <w:sz w:val="24"/>
            </w:rPr>
            <w:instrText xml:space="preserve"> PAGEREF _Toc7260 \h </w:instrText>
          </w:r>
          <w:r>
            <w:rPr>
              <w:rFonts w:eastAsia="宋体"/>
              <w:sz w:val="24"/>
            </w:rPr>
            <w:fldChar w:fldCharType="separate"/>
          </w:r>
          <w:r>
            <w:rPr>
              <w:rFonts w:eastAsia="宋体"/>
              <w:sz w:val="24"/>
            </w:rPr>
            <w:t>81</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_Toc5829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（五）求职困难</w:t>
          </w:r>
          <w:r>
            <w:rPr>
              <w:rFonts w:eastAsia="宋体"/>
              <w:sz w:val="24"/>
            </w:rPr>
            <w:tab/>
          </w:r>
          <w:r>
            <w:rPr>
              <w:rFonts w:eastAsia="宋体"/>
              <w:sz w:val="24"/>
            </w:rPr>
            <w:fldChar w:fldCharType="begin"/>
          </w:r>
          <w:r>
            <w:rPr>
              <w:rFonts w:eastAsia="宋体"/>
              <w:sz w:val="24"/>
            </w:rPr>
            <w:instrText xml:space="preserve"> PAGEREF _Toc5829 \h </w:instrText>
          </w:r>
          <w:r>
            <w:rPr>
              <w:rFonts w:eastAsia="宋体"/>
              <w:sz w:val="24"/>
            </w:rPr>
            <w:fldChar w:fldCharType="separate"/>
          </w:r>
          <w:r>
            <w:rPr>
              <w:rFonts w:eastAsia="宋体"/>
              <w:sz w:val="24"/>
            </w:rPr>
            <w:t>82</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_Toc22412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PART 06  就业发展趋势分析</w:t>
          </w:r>
          <w:r>
            <w:rPr>
              <w:rFonts w:eastAsia="宋体"/>
              <w:sz w:val="24"/>
            </w:rPr>
            <w:tab/>
          </w:r>
          <w:r>
            <w:rPr>
              <w:rFonts w:eastAsia="宋体"/>
              <w:sz w:val="24"/>
            </w:rPr>
            <w:fldChar w:fldCharType="begin"/>
          </w:r>
          <w:r>
            <w:rPr>
              <w:rFonts w:eastAsia="宋体"/>
              <w:sz w:val="24"/>
            </w:rPr>
            <w:instrText xml:space="preserve"> PAGEREF _Toc22412 \h </w:instrText>
          </w:r>
          <w:r>
            <w:rPr>
              <w:rFonts w:eastAsia="宋体"/>
              <w:sz w:val="24"/>
            </w:rPr>
            <w:fldChar w:fldCharType="separate"/>
          </w:r>
          <w:r>
            <w:rPr>
              <w:rFonts w:eastAsia="宋体"/>
              <w:sz w:val="24"/>
            </w:rPr>
            <w:t>83</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一、毕业去向落实率及毕业去向变化趋势</w:t>
          </w:r>
          <w:r>
            <w:rPr>
              <w:rFonts w:eastAsia="宋体"/>
              <w:sz w:val="24"/>
            </w:rPr>
            <w:tab/>
          </w:r>
          <w:r>
            <w:rPr>
              <w:rFonts w:eastAsia="宋体"/>
              <w:sz w:val="24"/>
            </w:rPr>
            <w:fldChar w:fldCharType="begin"/>
          </w:r>
          <w:r>
            <w:rPr>
              <w:rFonts w:eastAsia="宋体"/>
              <w:sz w:val="24"/>
            </w:rPr>
            <w:instrText xml:space="preserve"> PAGEREF _Toc28130 \h </w:instrText>
          </w:r>
          <w:r>
            <w:rPr>
              <w:rFonts w:eastAsia="宋体"/>
              <w:sz w:val="24"/>
            </w:rPr>
            <w:fldChar w:fldCharType="separate"/>
          </w:r>
          <w:r>
            <w:rPr>
              <w:rFonts w:eastAsia="宋体"/>
              <w:sz w:val="24"/>
            </w:rPr>
            <w:t>83</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_Toc9941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二、省内就业地区变化趋势</w:t>
          </w:r>
          <w:r>
            <w:rPr>
              <w:rFonts w:eastAsia="宋体"/>
              <w:sz w:val="24"/>
            </w:rPr>
            <w:tab/>
          </w:r>
          <w:r>
            <w:rPr>
              <w:rFonts w:eastAsia="宋体"/>
              <w:sz w:val="24"/>
            </w:rPr>
            <w:fldChar w:fldCharType="begin"/>
          </w:r>
          <w:r>
            <w:rPr>
              <w:rFonts w:eastAsia="宋体"/>
              <w:sz w:val="24"/>
            </w:rPr>
            <w:instrText xml:space="preserve"> PAGEREF _Toc9941 \h </w:instrText>
          </w:r>
          <w:r>
            <w:rPr>
              <w:rFonts w:eastAsia="宋体"/>
              <w:sz w:val="24"/>
            </w:rPr>
            <w:fldChar w:fldCharType="separate"/>
          </w:r>
          <w:r>
            <w:rPr>
              <w:rFonts w:eastAsia="宋体"/>
              <w:sz w:val="24"/>
            </w:rPr>
            <w:t>83</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_Toc13897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三、就业行业变化趋势</w:t>
          </w:r>
          <w:r>
            <w:rPr>
              <w:rFonts w:eastAsia="宋体"/>
              <w:sz w:val="24"/>
            </w:rPr>
            <w:tab/>
          </w:r>
          <w:r>
            <w:rPr>
              <w:rFonts w:eastAsia="宋体"/>
              <w:sz w:val="24"/>
            </w:rPr>
            <w:fldChar w:fldCharType="begin"/>
          </w:r>
          <w:r>
            <w:rPr>
              <w:rFonts w:eastAsia="宋体"/>
              <w:sz w:val="24"/>
            </w:rPr>
            <w:instrText xml:space="preserve"> PAGEREF _Toc13897 \h </w:instrText>
          </w:r>
          <w:r>
            <w:rPr>
              <w:rFonts w:eastAsia="宋体"/>
              <w:sz w:val="24"/>
            </w:rPr>
            <w:fldChar w:fldCharType="separate"/>
          </w:r>
          <w:r>
            <w:rPr>
              <w:rFonts w:eastAsia="宋体"/>
              <w:sz w:val="24"/>
            </w:rPr>
            <w:t>84</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_Toc3698 </w:instrText>
          </w:r>
          <w:r>
            <w:rPr>
              <w:rFonts w:hint="default" w:ascii="Times New Roman" w:hAnsi="Times New Roman" w:eastAsia="宋体" w:cs="Times New Roman"/>
              <w:sz w:val="24"/>
              <w:szCs w:val="24"/>
            </w:rPr>
            <w:fldChar w:fldCharType="separate"/>
          </w:r>
          <w:r>
            <w:rPr>
              <w:rFonts w:hint="eastAsia" w:eastAsia="宋体" w:cs="Times New Roman"/>
              <w:sz w:val="24"/>
              <w:lang w:val="en-US" w:eastAsia="zh-CN"/>
            </w:rPr>
            <w:t>四</w:t>
          </w:r>
          <w:r>
            <w:rPr>
              <w:rFonts w:hint="default" w:ascii="Times New Roman" w:hAnsi="Times New Roman" w:eastAsia="宋体" w:cs="Times New Roman"/>
              <w:sz w:val="24"/>
            </w:rPr>
            <w:t>、用人单位变化趋势</w:t>
          </w:r>
          <w:r>
            <w:rPr>
              <w:rFonts w:eastAsia="宋体"/>
              <w:sz w:val="24"/>
            </w:rPr>
            <w:tab/>
          </w:r>
          <w:r>
            <w:rPr>
              <w:rFonts w:eastAsia="宋体"/>
              <w:sz w:val="24"/>
            </w:rPr>
            <w:fldChar w:fldCharType="begin"/>
          </w:r>
          <w:r>
            <w:rPr>
              <w:rFonts w:eastAsia="宋体"/>
              <w:sz w:val="24"/>
            </w:rPr>
            <w:instrText xml:space="preserve"> PAGEREF _Toc3698 \h </w:instrText>
          </w:r>
          <w:r>
            <w:rPr>
              <w:rFonts w:eastAsia="宋体"/>
              <w:sz w:val="24"/>
            </w:rPr>
            <w:fldChar w:fldCharType="separate"/>
          </w:r>
          <w:r>
            <w:rPr>
              <w:rFonts w:eastAsia="宋体"/>
              <w:sz w:val="24"/>
            </w:rPr>
            <w:t>84</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_Toc4634 </w:instrText>
          </w:r>
          <w:r>
            <w:rPr>
              <w:rFonts w:hint="default" w:ascii="Times New Roman" w:hAnsi="Times New Roman" w:eastAsia="宋体" w:cs="Times New Roman"/>
              <w:sz w:val="24"/>
              <w:szCs w:val="24"/>
            </w:rPr>
            <w:fldChar w:fldCharType="separate"/>
          </w:r>
          <w:r>
            <w:rPr>
              <w:rFonts w:hint="eastAsia" w:eastAsia="宋体" w:cs="Times New Roman"/>
              <w:sz w:val="24"/>
              <w:lang w:val="en-US" w:eastAsia="zh-CN"/>
            </w:rPr>
            <w:t>五</w:t>
          </w:r>
          <w:r>
            <w:rPr>
              <w:rFonts w:hint="default" w:ascii="Times New Roman" w:hAnsi="Times New Roman" w:eastAsia="宋体" w:cs="Times New Roman"/>
              <w:sz w:val="24"/>
            </w:rPr>
            <w:t>、就业质量变化趋势</w:t>
          </w:r>
          <w:r>
            <w:rPr>
              <w:rFonts w:eastAsia="宋体"/>
              <w:sz w:val="24"/>
            </w:rPr>
            <w:tab/>
          </w:r>
          <w:r>
            <w:rPr>
              <w:rFonts w:eastAsia="宋体"/>
              <w:sz w:val="24"/>
            </w:rPr>
            <w:fldChar w:fldCharType="begin"/>
          </w:r>
          <w:r>
            <w:rPr>
              <w:rFonts w:eastAsia="宋体"/>
              <w:sz w:val="24"/>
            </w:rPr>
            <w:instrText xml:space="preserve"> PAGEREF _Toc4634 \h </w:instrText>
          </w:r>
          <w:r>
            <w:rPr>
              <w:rFonts w:eastAsia="宋体"/>
              <w:sz w:val="24"/>
            </w:rPr>
            <w:fldChar w:fldCharType="separate"/>
          </w:r>
          <w:r>
            <w:rPr>
              <w:rFonts w:eastAsia="宋体"/>
              <w:sz w:val="24"/>
            </w:rPr>
            <w:t>85</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_Toc17321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PART 07  对教育教学和服务的反馈</w:t>
          </w:r>
          <w:r>
            <w:rPr>
              <w:rFonts w:eastAsia="宋体"/>
              <w:sz w:val="24"/>
            </w:rPr>
            <w:tab/>
          </w:r>
          <w:r>
            <w:rPr>
              <w:rFonts w:eastAsia="宋体"/>
              <w:sz w:val="24"/>
            </w:rPr>
            <w:fldChar w:fldCharType="begin"/>
          </w:r>
          <w:r>
            <w:rPr>
              <w:rFonts w:eastAsia="宋体"/>
              <w:sz w:val="24"/>
            </w:rPr>
            <w:instrText xml:space="preserve"> PAGEREF _Toc17321 \h </w:instrText>
          </w:r>
          <w:r>
            <w:rPr>
              <w:rFonts w:eastAsia="宋体"/>
              <w:sz w:val="24"/>
            </w:rPr>
            <w:fldChar w:fldCharType="separate"/>
          </w:r>
          <w:r>
            <w:rPr>
              <w:rFonts w:eastAsia="宋体"/>
              <w:sz w:val="24"/>
            </w:rPr>
            <w:t>88</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_Toc5786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一、对母校的总体评价</w:t>
          </w:r>
          <w:r>
            <w:rPr>
              <w:rFonts w:eastAsia="宋体"/>
              <w:sz w:val="24"/>
            </w:rPr>
            <w:tab/>
          </w:r>
          <w:r>
            <w:rPr>
              <w:rFonts w:eastAsia="宋体"/>
              <w:sz w:val="24"/>
            </w:rPr>
            <w:fldChar w:fldCharType="begin"/>
          </w:r>
          <w:r>
            <w:rPr>
              <w:rFonts w:eastAsia="宋体"/>
              <w:sz w:val="24"/>
            </w:rPr>
            <w:instrText xml:space="preserve"> PAGEREF _Toc5786 \h </w:instrText>
          </w:r>
          <w:r>
            <w:rPr>
              <w:rFonts w:eastAsia="宋体"/>
              <w:sz w:val="24"/>
            </w:rPr>
            <w:fldChar w:fldCharType="separate"/>
          </w:r>
          <w:r>
            <w:rPr>
              <w:rFonts w:eastAsia="宋体"/>
              <w:sz w:val="24"/>
            </w:rPr>
            <w:t>88</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（一）母校满意度评价</w:t>
          </w:r>
          <w:r>
            <w:rPr>
              <w:rFonts w:eastAsia="宋体"/>
              <w:sz w:val="24"/>
            </w:rPr>
            <w:tab/>
          </w:r>
          <w:r>
            <w:rPr>
              <w:rFonts w:eastAsia="宋体"/>
              <w:sz w:val="24"/>
            </w:rPr>
            <w:fldChar w:fldCharType="begin"/>
          </w:r>
          <w:r>
            <w:rPr>
              <w:rFonts w:eastAsia="宋体"/>
              <w:sz w:val="24"/>
            </w:rPr>
            <w:instrText xml:space="preserve"> PAGEREF _Toc20312 \h </w:instrText>
          </w:r>
          <w:r>
            <w:rPr>
              <w:rFonts w:eastAsia="宋体"/>
              <w:sz w:val="24"/>
            </w:rPr>
            <w:fldChar w:fldCharType="separate"/>
          </w:r>
          <w:r>
            <w:rPr>
              <w:rFonts w:eastAsia="宋体"/>
              <w:sz w:val="24"/>
            </w:rPr>
            <w:t>88</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_Toc5914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（二）母校推荐度</w:t>
          </w:r>
          <w:r>
            <w:rPr>
              <w:rFonts w:eastAsia="宋体"/>
              <w:sz w:val="24"/>
            </w:rPr>
            <w:tab/>
          </w:r>
          <w:r>
            <w:rPr>
              <w:rFonts w:eastAsia="宋体"/>
              <w:sz w:val="24"/>
            </w:rPr>
            <w:fldChar w:fldCharType="begin"/>
          </w:r>
          <w:r>
            <w:rPr>
              <w:rFonts w:eastAsia="宋体"/>
              <w:sz w:val="24"/>
            </w:rPr>
            <w:instrText xml:space="preserve"> PAGEREF _Toc5914 \h </w:instrText>
          </w:r>
          <w:r>
            <w:rPr>
              <w:rFonts w:eastAsia="宋体"/>
              <w:sz w:val="24"/>
            </w:rPr>
            <w:fldChar w:fldCharType="separate"/>
          </w:r>
          <w:r>
            <w:rPr>
              <w:rFonts w:eastAsia="宋体"/>
              <w:sz w:val="24"/>
            </w:rPr>
            <w:t>90</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_Toc5589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二、对本专业的总体评价</w:t>
          </w:r>
          <w:r>
            <w:rPr>
              <w:rFonts w:eastAsia="宋体"/>
              <w:sz w:val="24"/>
            </w:rPr>
            <w:tab/>
          </w:r>
          <w:r>
            <w:rPr>
              <w:rFonts w:eastAsia="宋体"/>
              <w:sz w:val="24"/>
            </w:rPr>
            <w:fldChar w:fldCharType="begin"/>
          </w:r>
          <w:r>
            <w:rPr>
              <w:rFonts w:eastAsia="宋体"/>
              <w:sz w:val="24"/>
            </w:rPr>
            <w:instrText xml:space="preserve"> PAGEREF _Toc5589 \h </w:instrText>
          </w:r>
          <w:r>
            <w:rPr>
              <w:rFonts w:eastAsia="宋体"/>
              <w:sz w:val="24"/>
            </w:rPr>
            <w:fldChar w:fldCharType="separate"/>
          </w:r>
          <w:r>
            <w:rPr>
              <w:rFonts w:eastAsia="宋体"/>
              <w:sz w:val="24"/>
            </w:rPr>
            <w:t>93</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_Toc21456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（一）对本专业满意度</w:t>
          </w:r>
          <w:r>
            <w:rPr>
              <w:rFonts w:eastAsia="宋体"/>
              <w:sz w:val="24"/>
            </w:rPr>
            <w:tab/>
          </w:r>
          <w:r>
            <w:rPr>
              <w:rFonts w:eastAsia="宋体"/>
              <w:sz w:val="24"/>
            </w:rPr>
            <w:fldChar w:fldCharType="begin"/>
          </w:r>
          <w:r>
            <w:rPr>
              <w:rFonts w:eastAsia="宋体"/>
              <w:sz w:val="24"/>
            </w:rPr>
            <w:instrText xml:space="preserve"> PAGEREF _Toc21456 \h </w:instrText>
          </w:r>
          <w:r>
            <w:rPr>
              <w:rFonts w:eastAsia="宋体"/>
              <w:sz w:val="24"/>
            </w:rPr>
            <w:fldChar w:fldCharType="separate"/>
          </w:r>
          <w:r>
            <w:rPr>
              <w:rFonts w:eastAsia="宋体"/>
              <w:sz w:val="24"/>
            </w:rPr>
            <w:t>93</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_Toc30411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（二）对本专业推荐度</w:t>
          </w:r>
          <w:r>
            <w:rPr>
              <w:rFonts w:eastAsia="宋体"/>
              <w:sz w:val="24"/>
            </w:rPr>
            <w:tab/>
          </w:r>
          <w:r>
            <w:rPr>
              <w:rFonts w:eastAsia="宋体"/>
              <w:sz w:val="24"/>
            </w:rPr>
            <w:fldChar w:fldCharType="begin"/>
          </w:r>
          <w:r>
            <w:rPr>
              <w:rFonts w:eastAsia="宋体"/>
              <w:sz w:val="24"/>
            </w:rPr>
            <w:instrText xml:space="preserve"> PAGEREF _Toc30411 \h </w:instrText>
          </w:r>
          <w:r>
            <w:rPr>
              <w:rFonts w:eastAsia="宋体"/>
              <w:sz w:val="24"/>
            </w:rPr>
            <w:fldChar w:fldCharType="separate"/>
          </w:r>
          <w:r>
            <w:rPr>
              <w:rFonts w:eastAsia="宋体"/>
              <w:sz w:val="24"/>
            </w:rPr>
            <w:t>96</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_Toc5320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三、对课程评价</w:t>
          </w:r>
          <w:r>
            <w:rPr>
              <w:rFonts w:eastAsia="宋体"/>
              <w:sz w:val="24"/>
            </w:rPr>
            <w:tab/>
          </w:r>
          <w:r>
            <w:rPr>
              <w:rFonts w:eastAsia="宋体"/>
              <w:sz w:val="24"/>
            </w:rPr>
            <w:fldChar w:fldCharType="begin"/>
          </w:r>
          <w:r>
            <w:rPr>
              <w:rFonts w:eastAsia="宋体"/>
              <w:sz w:val="24"/>
            </w:rPr>
            <w:instrText xml:space="preserve"> PAGEREF _Toc5320 \h </w:instrText>
          </w:r>
          <w:r>
            <w:rPr>
              <w:rFonts w:eastAsia="宋体"/>
              <w:sz w:val="24"/>
            </w:rPr>
            <w:fldChar w:fldCharType="separate"/>
          </w:r>
          <w:r>
            <w:rPr>
              <w:rFonts w:eastAsia="宋体"/>
              <w:sz w:val="24"/>
            </w:rPr>
            <w:t>98</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_Toc3321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四、对任课教师评价</w:t>
          </w:r>
          <w:r>
            <w:rPr>
              <w:rFonts w:eastAsia="宋体"/>
              <w:sz w:val="24"/>
            </w:rPr>
            <w:tab/>
          </w:r>
          <w:r>
            <w:rPr>
              <w:rFonts w:eastAsia="宋体"/>
              <w:sz w:val="24"/>
            </w:rPr>
            <w:fldChar w:fldCharType="begin"/>
          </w:r>
          <w:r>
            <w:rPr>
              <w:rFonts w:eastAsia="宋体"/>
              <w:sz w:val="24"/>
            </w:rPr>
            <w:instrText xml:space="preserve"> PAGEREF _Toc3321 \h </w:instrText>
          </w:r>
          <w:r>
            <w:rPr>
              <w:rFonts w:eastAsia="宋体"/>
              <w:sz w:val="24"/>
            </w:rPr>
            <w:fldChar w:fldCharType="separate"/>
          </w:r>
          <w:r>
            <w:rPr>
              <w:rFonts w:eastAsia="宋体"/>
              <w:sz w:val="24"/>
            </w:rPr>
            <w:t>100</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_Toc14620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五、对学风建设评价</w:t>
          </w:r>
          <w:r>
            <w:rPr>
              <w:rFonts w:eastAsia="宋体"/>
              <w:sz w:val="24"/>
            </w:rPr>
            <w:tab/>
          </w:r>
          <w:r>
            <w:rPr>
              <w:rFonts w:eastAsia="宋体"/>
              <w:sz w:val="24"/>
            </w:rPr>
            <w:fldChar w:fldCharType="begin"/>
          </w:r>
          <w:r>
            <w:rPr>
              <w:rFonts w:eastAsia="宋体"/>
              <w:sz w:val="24"/>
            </w:rPr>
            <w:instrText xml:space="preserve"> PAGEREF _Toc14620 \h </w:instrText>
          </w:r>
          <w:r>
            <w:rPr>
              <w:rFonts w:eastAsia="宋体"/>
              <w:sz w:val="24"/>
            </w:rPr>
            <w:fldChar w:fldCharType="separate"/>
          </w:r>
          <w:r>
            <w:rPr>
              <w:rFonts w:eastAsia="宋体"/>
              <w:sz w:val="24"/>
            </w:rPr>
            <w:t>103</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_Toc5380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六、对课堂教学评价</w:t>
          </w:r>
          <w:r>
            <w:rPr>
              <w:rFonts w:eastAsia="宋体"/>
              <w:sz w:val="24"/>
            </w:rPr>
            <w:tab/>
          </w:r>
          <w:r>
            <w:rPr>
              <w:rFonts w:eastAsia="宋体"/>
              <w:sz w:val="24"/>
            </w:rPr>
            <w:fldChar w:fldCharType="begin"/>
          </w:r>
          <w:r>
            <w:rPr>
              <w:rFonts w:eastAsia="宋体"/>
              <w:sz w:val="24"/>
            </w:rPr>
            <w:instrText xml:space="preserve"> PAGEREF _Toc5380 \h </w:instrText>
          </w:r>
          <w:r>
            <w:rPr>
              <w:rFonts w:eastAsia="宋体"/>
              <w:sz w:val="24"/>
            </w:rPr>
            <w:fldChar w:fldCharType="separate"/>
          </w:r>
          <w:r>
            <w:rPr>
              <w:rFonts w:eastAsia="宋体"/>
              <w:sz w:val="24"/>
            </w:rPr>
            <w:t>106</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_Toc17672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七、对实践教学的评价</w:t>
          </w:r>
          <w:r>
            <w:rPr>
              <w:rFonts w:eastAsia="宋体"/>
              <w:sz w:val="24"/>
            </w:rPr>
            <w:tab/>
          </w:r>
          <w:r>
            <w:rPr>
              <w:rFonts w:eastAsia="宋体"/>
              <w:sz w:val="24"/>
            </w:rPr>
            <w:fldChar w:fldCharType="begin"/>
          </w:r>
          <w:r>
            <w:rPr>
              <w:rFonts w:eastAsia="宋体"/>
              <w:sz w:val="24"/>
            </w:rPr>
            <w:instrText xml:space="preserve"> PAGEREF _Toc17672 \h </w:instrText>
          </w:r>
          <w:r>
            <w:rPr>
              <w:rFonts w:eastAsia="宋体"/>
              <w:sz w:val="24"/>
            </w:rPr>
            <w:fldChar w:fldCharType="separate"/>
          </w:r>
          <w:r>
            <w:rPr>
              <w:rFonts w:eastAsia="宋体"/>
              <w:sz w:val="24"/>
            </w:rPr>
            <w:t>108</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_Toc31672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八、对毕业要求达成度评价</w:t>
          </w:r>
          <w:r>
            <w:rPr>
              <w:rFonts w:eastAsia="宋体"/>
              <w:sz w:val="24"/>
            </w:rPr>
            <w:tab/>
          </w:r>
          <w:r>
            <w:rPr>
              <w:rFonts w:eastAsia="宋体"/>
              <w:sz w:val="24"/>
            </w:rPr>
            <w:fldChar w:fldCharType="begin"/>
          </w:r>
          <w:r>
            <w:rPr>
              <w:rFonts w:eastAsia="宋体"/>
              <w:sz w:val="24"/>
            </w:rPr>
            <w:instrText xml:space="preserve"> PAGEREF _Toc31672 \h </w:instrText>
          </w:r>
          <w:r>
            <w:rPr>
              <w:rFonts w:eastAsia="宋体"/>
              <w:sz w:val="24"/>
            </w:rPr>
            <w:fldChar w:fldCharType="separate"/>
          </w:r>
          <w:r>
            <w:rPr>
              <w:rFonts w:eastAsia="宋体"/>
              <w:sz w:val="24"/>
            </w:rPr>
            <w:t>111</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_Toc3488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九、专业社会需求度</w:t>
          </w:r>
          <w:r>
            <w:rPr>
              <w:rFonts w:eastAsia="宋体"/>
              <w:sz w:val="24"/>
            </w:rPr>
            <w:tab/>
          </w:r>
          <w:r>
            <w:rPr>
              <w:rFonts w:eastAsia="宋体"/>
              <w:sz w:val="24"/>
            </w:rPr>
            <w:fldChar w:fldCharType="begin"/>
          </w:r>
          <w:r>
            <w:rPr>
              <w:rFonts w:eastAsia="宋体"/>
              <w:sz w:val="24"/>
            </w:rPr>
            <w:instrText xml:space="preserve"> PAGEREF _Toc3488 \h </w:instrText>
          </w:r>
          <w:r>
            <w:rPr>
              <w:rFonts w:eastAsia="宋体"/>
              <w:sz w:val="24"/>
            </w:rPr>
            <w:fldChar w:fldCharType="separate"/>
          </w:r>
          <w:r>
            <w:rPr>
              <w:rFonts w:eastAsia="宋体"/>
              <w:sz w:val="24"/>
            </w:rPr>
            <w:t>113</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_Toc22380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十、对教学设施评价</w:t>
          </w:r>
          <w:r>
            <w:rPr>
              <w:rFonts w:eastAsia="宋体"/>
              <w:sz w:val="24"/>
            </w:rPr>
            <w:tab/>
          </w:r>
          <w:r>
            <w:rPr>
              <w:rFonts w:eastAsia="宋体"/>
              <w:sz w:val="24"/>
            </w:rPr>
            <w:fldChar w:fldCharType="begin"/>
          </w:r>
          <w:r>
            <w:rPr>
              <w:rFonts w:eastAsia="宋体"/>
              <w:sz w:val="24"/>
            </w:rPr>
            <w:instrText xml:space="preserve"> PAGEREF _Toc22380 \h </w:instrText>
          </w:r>
          <w:r>
            <w:rPr>
              <w:rFonts w:eastAsia="宋体"/>
              <w:sz w:val="24"/>
            </w:rPr>
            <w:fldChar w:fldCharType="separate"/>
          </w:r>
          <w:r>
            <w:rPr>
              <w:rFonts w:eastAsia="宋体"/>
              <w:sz w:val="24"/>
            </w:rPr>
            <w:t>115</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_Toc22319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十一、对就业/创业教育及服务的参与度和满意度评价</w:t>
          </w:r>
          <w:r>
            <w:rPr>
              <w:rFonts w:eastAsia="宋体"/>
              <w:sz w:val="24"/>
            </w:rPr>
            <w:tab/>
          </w:r>
          <w:r>
            <w:rPr>
              <w:rFonts w:eastAsia="宋体"/>
              <w:sz w:val="24"/>
            </w:rPr>
            <w:fldChar w:fldCharType="begin"/>
          </w:r>
          <w:r>
            <w:rPr>
              <w:rFonts w:eastAsia="宋体"/>
              <w:sz w:val="24"/>
            </w:rPr>
            <w:instrText xml:space="preserve"> PAGEREF _Toc22319 \h </w:instrText>
          </w:r>
          <w:r>
            <w:rPr>
              <w:rFonts w:eastAsia="宋体"/>
              <w:sz w:val="24"/>
            </w:rPr>
            <w:fldChar w:fldCharType="separate"/>
          </w:r>
          <w:r>
            <w:rPr>
              <w:rFonts w:eastAsia="宋体"/>
              <w:sz w:val="24"/>
            </w:rPr>
            <w:t>115</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_Toc28002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PART 08 用人单位评价</w:t>
          </w:r>
          <w:r>
            <w:rPr>
              <w:rFonts w:eastAsia="宋体"/>
              <w:sz w:val="24"/>
            </w:rPr>
            <w:tab/>
          </w:r>
          <w:r>
            <w:rPr>
              <w:rFonts w:eastAsia="宋体"/>
              <w:sz w:val="24"/>
            </w:rPr>
            <w:fldChar w:fldCharType="begin"/>
          </w:r>
          <w:r>
            <w:rPr>
              <w:rFonts w:eastAsia="宋体"/>
              <w:sz w:val="24"/>
            </w:rPr>
            <w:instrText xml:space="preserve"> PAGEREF _Toc28002 \h </w:instrText>
          </w:r>
          <w:r>
            <w:rPr>
              <w:rFonts w:eastAsia="宋体"/>
              <w:sz w:val="24"/>
            </w:rPr>
            <w:fldChar w:fldCharType="separate"/>
          </w:r>
          <w:r>
            <w:rPr>
              <w:rFonts w:eastAsia="宋体"/>
              <w:sz w:val="24"/>
            </w:rPr>
            <w:t>117</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_Toc9092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一、招聘学校毕业生的基本情况</w:t>
          </w:r>
          <w:r>
            <w:rPr>
              <w:rFonts w:eastAsia="宋体"/>
              <w:sz w:val="24"/>
            </w:rPr>
            <w:tab/>
          </w:r>
          <w:r>
            <w:rPr>
              <w:rFonts w:eastAsia="宋体"/>
              <w:sz w:val="24"/>
            </w:rPr>
            <w:fldChar w:fldCharType="begin"/>
          </w:r>
          <w:r>
            <w:rPr>
              <w:rFonts w:eastAsia="宋体"/>
              <w:sz w:val="24"/>
            </w:rPr>
            <w:instrText xml:space="preserve"> PAGEREF _Toc9092 \h </w:instrText>
          </w:r>
          <w:r>
            <w:rPr>
              <w:rFonts w:eastAsia="宋体"/>
              <w:sz w:val="24"/>
            </w:rPr>
            <w:fldChar w:fldCharType="separate"/>
          </w:r>
          <w:r>
            <w:rPr>
              <w:rFonts w:eastAsia="宋体"/>
              <w:sz w:val="24"/>
            </w:rPr>
            <w:t>117</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_Toc11103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（一）招聘人数</w:t>
          </w:r>
          <w:r>
            <w:rPr>
              <w:rFonts w:eastAsia="宋体"/>
              <w:sz w:val="24"/>
            </w:rPr>
            <w:tab/>
          </w:r>
          <w:r>
            <w:rPr>
              <w:rFonts w:eastAsia="宋体"/>
              <w:sz w:val="24"/>
            </w:rPr>
            <w:fldChar w:fldCharType="begin"/>
          </w:r>
          <w:r>
            <w:rPr>
              <w:rFonts w:eastAsia="宋体"/>
              <w:sz w:val="24"/>
            </w:rPr>
            <w:instrText xml:space="preserve"> PAGEREF _Toc11103 \h </w:instrText>
          </w:r>
          <w:r>
            <w:rPr>
              <w:rFonts w:eastAsia="宋体"/>
              <w:sz w:val="24"/>
            </w:rPr>
            <w:fldChar w:fldCharType="separate"/>
          </w:r>
          <w:r>
            <w:rPr>
              <w:rFonts w:eastAsia="宋体"/>
              <w:sz w:val="24"/>
            </w:rPr>
            <w:t>117</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_Toc6075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（二）招聘岗位和时间</w:t>
          </w:r>
          <w:r>
            <w:rPr>
              <w:rFonts w:eastAsia="宋体"/>
              <w:sz w:val="24"/>
            </w:rPr>
            <w:tab/>
          </w:r>
          <w:r>
            <w:rPr>
              <w:rFonts w:eastAsia="宋体"/>
              <w:sz w:val="24"/>
            </w:rPr>
            <w:fldChar w:fldCharType="begin"/>
          </w:r>
          <w:r>
            <w:rPr>
              <w:rFonts w:eastAsia="宋体"/>
              <w:sz w:val="24"/>
            </w:rPr>
            <w:instrText xml:space="preserve"> PAGEREF _Toc6075 \h </w:instrText>
          </w:r>
          <w:r>
            <w:rPr>
              <w:rFonts w:eastAsia="宋体"/>
              <w:sz w:val="24"/>
            </w:rPr>
            <w:fldChar w:fldCharType="separate"/>
          </w:r>
          <w:r>
            <w:rPr>
              <w:rFonts w:eastAsia="宋体"/>
              <w:sz w:val="24"/>
            </w:rPr>
            <w:t>117</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_Toc32464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（三）招聘需求和意愿</w:t>
          </w:r>
          <w:r>
            <w:rPr>
              <w:rFonts w:eastAsia="宋体"/>
              <w:sz w:val="24"/>
            </w:rPr>
            <w:tab/>
          </w:r>
          <w:r>
            <w:rPr>
              <w:rFonts w:eastAsia="宋体"/>
              <w:sz w:val="24"/>
            </w:rPr>
            <w:fldChar w:fldCharType="begin"/>
          </w:r>
          <w:r>
            <w:rPr>
              <w:rFonts w:eastAsia="宋体"/>
              <w:sz w:val="24"/>
            </w:rPr>
            <w:instrText xml:space="preserve"> PAGEREF _Toc32464 \h </w:instrText>
          </w:r>
          <w:r>
            <w:rPr>
              <w:rFonts w:eastAsia="宋体"/>
              <w:sz w:val="24"/>
            </w:rPr>
            <w:fldChar w:fldCharType="separate"/>
          </w:r>
          <w:r>
            <w:rPr>
              <w:rFonts w:eastAsia="宋体"/>
              <w:sz w:val="24"/>
            </w:rPr>
            <w:t>118</w:t>
          </w:r>
          <w:r>
            <w:rPr>
              <w:rFonts w:eastAsia="宋体"/>
              <w:sz w:val="24"/>
            </w:rPr>
            <w:fldChar w:fldCharType="end"/>
          </w:r>
          <w:r>
            <w:rPr>
              <w:rFonts w:hint="default" w:ascii="Times New Roman" w:hAnsi="Times New Roman" w:eastAsia="宋体" w:cs="Times New Roman"/>
              <w:sz w:val="24"/>
              <w:szCs w:val="24"/>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_Toc23878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（四）招聘原因和渠道</w:t>
          </w:r>
          <w:r>
            <w:rPr>
              <w:rFonts w:eastAsia="宋体"/>
              <w:sz w:val="24"/>
            </w:rPr>
            <w:tab/>
          </w:r>
          <w:r>
            <w:rPr>
              <w:rFonts w:eastAsia="宋体"/>
              <w:sz w:val="24"/>
            </w:rPr>
            <w:fldChar w:fldCharType="begin"/>
          </w:r>
          <w:r>
            <w:rPr>
              <w:rFonts w:eastAsia="宋体"/>
              <w:sz w:val="24"/>
            </w:rPr>
            <w:instrText xml:space="preserve"> PAGEREF _Toc23878 \h </w:instrText>
          </w:r>
          <w:r>
            <w:rPr>
              <w:rFonts w:eastAsia="宋体"/>
              <w:sz w:val="24"/>
            </w:rPr>
            <w:fldChar w:fldCharType="separate"/>
          </w:r>
          <w:r>
            <w:rPr>
              <w:rFonts w:eastAsia="宋体"/>
              <w:sz w:val="24"/>
            </w:rPr>
            <w:t>119</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_Toc32304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二、对学校毕业生的评价</w:t>
          </w:r>
          <w:r>
            <w:rPr>
              <w:rFonts w:eastAsia="宋体"/>
              <w:sz w:val="24"/>
            </w:rPr>
            <w:tab/>
          </w:r>
          <w:r>
            <w:rPr>
              <w:rFonts w:eastAsia="宋体"/>
              <w:sz w:val="24"/>
            </w:rPr>
            <w:fldChar w:fldCharType="begin"/>
          </w:r>
          <w:r>
            <w:rPr>
              <w:rFonts w:eastAsia="宋体"/>
              <w:sz w:val="24"/>
            </w:rPr>
            <w:instrText xml:space="preserve"> PAGEREF _Toc32304 \h </w:instrText>
          </w:r>
          <w:r>
            <w:rPr>
              <w:rFonts w:eastAsia="宋体"/>
              <w:sz w:val="24"/>
            </w:rPr>
            <w:fldChar w:fldCharType="separate"/>
          </w:r>
          <w:r>
            <w:rPr>
              <w:rFonts w:eastAsia="宋体"/>
              <w:sz w:val="24"/>
            </w:rPr>
            <w:t>120</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_Toc16449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三、最需要的就业服务</w:t>
          </w:r>
          <w:r>
            <w:rPr>
              <w:rFonts w:eastAsia="宋体"/>
              <w:sz w:val="24"/>
            </w:rPr>
            <w:tab/>
          </w:r>
          <w:r>
            <w:rPr>
              <w:rFonts w:eastAsia="宋体"/>
              <w:sz w:val="24"/>
            </w:rPr>
            <w:fldChar w:fldCharType="begin"/>
          </w:r>
          <w:r>
            <w:rPr>
              <w:rFonts w:eastAsia="宋体"/>
              <w:sz w:val="24"/>
            </w:rPr>
            <w:instrText xml:space="preserve"> PAGEREF _Toc16449 \h </w:instrText>
          </w:r>
          <w:r>
            <w:rPr>
              <w:rFonts w:eastAsia="宋体"/>
              <w:sz w:val="24"/>
            </w:rPr>
            <w:fldChar w:fldCharType="separate"/>
          </w:r>
          <w:r>
            <w:rPr>
              <w:rFonts w:eastAsia="宋体"/>
              <w:sz w:val="24"/>
            </w:rPr>
            <w:t>122</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_Toc7505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四、用人单位与高校合作的形式与比例</w:t>
          </w:r>
          <w:r>
            <w:rPr>
              <w:rFonts w:eastAsia="宋体"/>
              <w:sz w:val="24"/>
            </w:rPr>
            <w:tab/>
          </w:r>
          <w:r>
            <w:rPr>
              <w:rFonts w:eastAsia="宋体"/>
              <w:sz w:val="24"/>
            </w:rPr>
            <w:fldChar w:fldCharType="begin"/>
          </w:r>
          <w:r>
            <w:rPr>
              <w:rFonts w:eastAsia="宋体"/>
              <w:sz w:val="24"/>
            </w:rPr>
            <w:instrText xml:space="preserve"> PAGEREF _Toc7505 \h </w:instrText>
          </w:r>
          <w:r>
            <w:rPr>
              <w:rFonts w:eastAsia="宋体"/>
              <w:sz w:val="24"/>
            </w:rPr>
            <w:fldChar w:fldCharType="separate"/>
          </w:r>
          <w:r>
            <w:rPr>
              <w:rFonts w:eastAsia="宋体"/>
              <w:sz w:val="24"/>
            </w:rPr>
            <w:t>123</w:t>
          </w:r>
          <w:r>
            <w:rPr>
              <w:rFonts w:eastAsia="宋体"/>
              <w:sz w:val="24"/>
            </w:rPr>
            <w:fldChar w:fldCharType="end"/>
          </w:r>
          <w:r>
            <w:rPr>
              <w:rFonts w:hint="default" w:ascii="Times New Roman" w:hAnsi="Times New Roman" w:eastAsia="宋体" w:cs="Times New Roman"/>
              <w:sz w:val="24"/>
              <w:szCs w:val="24"/>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_Toc15982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五、对学校招聘服务的评价</w:t>
          </w:r>
          <w:r>
            <w:rPr>
              <w:rFonts w:eastAsia="宋体"/>
              <w:sz w:val="24"/>
            </w:rPr>
            <w:tab/>
          </w:r>
          <w:r>
            <w:rPr>
              <w:rFonts w:eastAsia="宋体"/>
              <w:sz w:val="24"/>
            </w:rPr>
            <w:fldChar w:fldCharType="begin"/>
          </w:r>
          <w:r>
            <w:rPr>
              <w:rFonts w:eastAsia="宋体"/>
              <w:sz w:val="24"/>
            </w:rPr>
            <w:instrText xml:space="preserve"> PAGEREF _Toc15982 \h </w:instrText>
          </w:r>
          <w:r>
            <w:rPr>
              <w:rFonts w:eastAsia="宋体"/>
              <w:sz w:val="24"/>
            </w:rPr>
            <w:fldChar w:fldCharType="separate"/>
          </w:r>
          <w:r>
            <w:rPr>
              <w:rFonts w:eastAsia="宋体"/>
              <w:sz w:val="24"/>
            </w:rPr>
            <w:t>124</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附录一  各</w:t>
          </w:r>
          <w:r>
            <w:rPr>
              <w:rFonts w:hint="eastAsia" w:eastAsia="宋体" w:cs="Times New Roman"/>
              <w:sz w:val="24"/>
              <w:lang w:val="en-US" w:eastAsia="zh-CN"/>
            </w:rPr>
            <w:t>系</w:t>
          </w:r>
          <w:r>
            <w:rPr>
              <w:rFonts w:hint="default" w:ascii="Times New Roman" w:hAnsi="Times New Roman" w:eastAsia="宋体" w:cs="Times New Roman"/>
              <w:sz w:val="24"/>
            </w:rPr>
            <w:t>毕业去向落实率及毕业去向分布</w:t>
          </w:r>
          <w:r>
            <w:rPr>
              <w:rFonts w:eastAsia="宋体"/>
              <w:sz w:val="24"/>
            </w:rPr>
            <w:tab/>
          </w:r>
          <w:r>
            <w:rPr>
              <w:rFonts w:eastAsia="宋体"/>
              <w:sz w:val="24"/>
            </w:rPr>
            <w:fldChar w:fldCharType="begin"/>
          </w:r>
          <w:r>
            <w:rPr>
              <w:rFonts w:eastAsia="宋体"/>
              <w:sz w:val="24"/>
            </w:rPr>
            <w:instrText xml:space="preserve"> PAGEREF _Toc934 \h </w:instrText>
          </w:r>
          <w:r>
            <w:rPr>
              <w:rFonts w:eastAsia="宋体"/>
              <w:sz w:val="24"/>
            </w:rPr>
            <w:fldChar w:fldCharType="separate"/>
          </w:r>
          <w:r>
            <w:rPr>
              <w:rFonts w:eastAsia="宋体"/>
              <w:sz w:val="24"/>
            </w:rPr>
            <w:t>126</w:t>
          </w:r>
          <w:r>
            <w:rPr>
              <w:rFonts w:eastAsia="宋体"/>
              <w:sz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宋体"/>
              <w:sz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_Toc22595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rPr>
            <w:t>附录二  各专业毕业去向落实率及毕业去向分布</w:t>
          </w:r>
          <w:r>
            <w:rPr>
              <w:rFonts w:eastAsia="宋体"/>
              <w:sz w:val="24"/>
            </w:rPr>
            <w:tab/>
          </w:r>
          <w:r>
            <w:rPr>
              <w:rFonts w:eastAsia="宋体"/>
              <w:sz w:val="24"/>
            </w:rPr>
            <w:fldChar w:fldCharType="begin"/>
          </w:r>
          <w:r>
            <w:rPr>
              <w:rFonts w:eastAsia="宋体"/>
              <w:sz w:val="24"/>
            </w:rPr>
            <w:instrText xml:space="preserve"> PAGEREF _Toc22595 \h </w:instrText>
          </w:r>
          <w:r>
            <w:rPr>
              <w:rFonts w:eastAsia="宋体"/>
              <w:sz w:val="24"/>
            </w:rPr>
            <w:fldChar w:fldCharType="separate"/>
          </w:r>
          <w:r>
            <w:rPr>
              <w:rFonts w:eastAsia="宋体"/>
              <w:sz w:val="24"/>
            </w:rPr>
            <w:t>127</w:t>
          </w:r>
          <w:r>
            <w:rPr>
              <w:rFonts w:eastAsia="宋体"/>
              <w:sz w:val="24"/>
            </w:rPr>
            <w:fldChar w:fldCharType="end"/>
          </w:r>
          <w:r>
            <w:rPr>
              <w:rFonts w:hint="default" w:ascii="Times New Roman" w:hAnsi="Times New Roman" w:eastAsia="宋体" w:cs="Times New Roman"/>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eastAsia="宋体" w:cs="Times New Roman"/>
              <w:sz w:val="24"/>
              <w:szCs w:val="24"/>
            </w:rPr>
            <w:fldChar w:fldCharType="end"/>
          </w:r>
        </w:p>
      </w:sdtContent>
    </w:sdt>
    <w:p>
      <w:pPr>
        <w:keepNext w:val="0"/>
        <w:keepLines w:val="0"/>
        <w:pageBreakBefore w:val="0"/>
        <w:widowControl w:val="0"/>
        <w:shd w:val="clear" w:color="auto" w:fill="0F6FC6"/>
        <w:kinsoku/>
        <w:wordWrap/>
        <w:overflowPunct/>
        <w:topLinePunct w:val="0"/>
        <w:autoSpaceDE/>
        <w:autoSpaceDN/>
        <w:bidi w:val="0"/>
        <w:adjustRightInd/>
        <w:snapToGrid/>
        <w:jc w:val="center"/>
        <w:textAlignment w:val="auto"/>
        <w:outlineLvl w:val="0"/>
        <w:rPr>
          <w:rFonts w:hint="default" w:ascii="Times New Roman" w:hAnsi="Times New Roman" w:eastAsia="黑体" w:cs="Times New Roman"/>
          <w:b/>
          <w:color w:val="FFFFFF"/>
          <w:sz w:val="36"/>
          <w:u w:color="auto"/>
        </w:rPr>
        <w:sectPr>
          <w:footerReference r:id="rId12" w:type="first"/>
          <w:footerReference r:id="rId10" w:type="default"/>
          <w:footerReference r:id="rId11" w:type="even"/>
          <w:pgSz w:w="11906" w:h="16838"/>
          <w:pgMar w:top="1440" w:right="1800" w:bottom="1440" w:left="1800" w:header="850" w:footer="992" w:gutter="0"/>
          <w:pgBorders>
            <w:top w:val="none" w:sz="0" w:space="0"/>
            <w:left w:val="none" w:sz="0" w:space="0"/>
            <w:bottom w:val="none" w:sz="0" w:space="0"/>
            <w:right w:val="none" w:sz="0" w:space="0"/>
          </w:pgBorders>
          <w:pgNumType w:fmt="upperRoman" w:start="1"/>
          <w:cols w:space="360" w:num="1"/>
          <w:titlePg/>
          <w:docGrid w:linePitch="312" w:charSpace="0"/>
        </w:sectPr>
      </w:pPr>
    </w:p>
    <w:p>
      <w:pPr>
        <w:keepNext w:val="0"/>
        <w:keepLines w:val="0"/>
        <w:pageBreakBefore w:val="0"/>
        <w:widowControl w:val="0"/>
        <w:shd w:val="clear" w:color="auto" w:fill="0F6FC6"/>
        <w:kinsoku/>
        <w:wordWrap/>
        <w:overflowPunct/>
        <w:topLinePunct w:val="0"/>
        <w:autoSpaceDE/>
        <w:autoSpaceDN/>
        <w:bidi w:val="0"/>
        <w:adjustRightInd/>
        <w:snapToGrid/>
        <w:jc w:val="center"/>
        <w:textAlignment w:val="auto"/>
        <w:outlineLvl w:val="0"/>
        <w:rPr>
          <w:rFonts w:hint="default" w:ascii="Times New Roman" w:hAnsi="Times New Roman" w:cs="Times New Roman"/>
        </w:rPr>
      </w:pPr>
      <w:bookmarkStart w:id="0" w:name="_Toc5202"/>
      <w:r>
        <w:rPr>
          <w:rFonts w:hint="default" w:ascii="Times New Roman" w:hAnsi="Times New Roman" w:eastAsia="黑体" w:cs="Times New Roman"/>
          <w:b/>
          <w:color w:val="FFFFFF"/>
          <w:sz w:val="36"/>
          <w:u w:color="auto"/>
        </w:rPr>
        <w:t>学校概况</w:t>
      </w:r>
      <w:bookmarkEnd w:id="0"/>
    </w:p>
    <w:p>
      <w:pPr>
        <w:rPr>
          <w:rFonts w:hint="default" w:ascii="Times New Roman" w:hAnsi="Times New Roman" w:cs="Times New Roman"/>
        </w:rPr>
      </w:pPr>
      <w:r>
        <w:rPr>
          <w:rFonts w:hint="default" w:ascii="Times New Roman" w:hAnsi="Times New Roman" w:cs="Times New Roman"/>
        </w:rPr>
        <w: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晋中学院前身是1958年建校的晋中师范专科学校，2004年5月经教育部批准，在原晋中师范高等专科学校、晋中教育学院、晋中职工大学三校合并基础上，建立省属全日制本科院校。学校为硕士学位授权立项建设单位，全省首批应用型本科高校建设单位，省级</w:t>
      </w:r>
      <w:r>
        <w:rPr>
          <w:rFonts w:hint="eastAsia" w:eastAsia="宋体" w:cs="Times New Roman"/>
          <w:sz w:val="24"/>
          <w:lang w:eastAsia="zh-CN"/>
        </w:rPr>
        <w:t>“</w:t>
      </w:r>
      <w:r>
        <w:rPr>
          <w:rFonts w:hint="default" w:ascii="Times New Roman" w:hAnsi="Times New Roman" w:cs="Times New Roman"/>
          <w:sz w:val="24"/>
        </w:rPr>
        <w:t>高校文明单位</w:t>
      </w:r>
      <w:r>
        <w:rPr>
          <w:rFonts w:hint="eastAsia" w:eastAsia="宋体" w:cs="Times New Roman"/>
          <w:sz w:val="24"/>
          <w:lang w:eastAsia="zh-CN"/>
        </w:rPr>
        <w:t>”“</w:t>
      </w:r>
      <w:r>
        <w:rPr>
          <w:rFonts w:hint="default" w:ascii="Times New Roman" w:hAnsi="Times New Roman" w:cs="Times New Roman"/>
          <w:sz w:val="24"/>
        </w:rPr>
        <w:t>综合治理先进单位</w:t>
      </w:r>
      <w:r>
        <w:rPr>
          <w:rFonts w:hint="eastAsia" w:eastAsia="宋体" w:cs="Times New Roman"/>
          <w:sz w:val="24"/>
          <w:lang w:eastAsia="zh-CN"/>
        </w:rPr>
        <w:t>”“</w:t>
      </w:r>
      <w:r>
        <w:rPr>
          <w:rFonts w:hint="default" w:ascii="Times New Roman" w:hAnsi="Times New Roman" w:cs="Times New Roman"/>
          <w:sz w:val="24"/>
        </w:rPr>
        <w:t>平安单位</w:t>
      </w:r>
      <w:r>
        <w:rPr>
          <w:rFonts w:hint="eastAsia" w:eastAsia="宋体" w:cs="Times New Roman"/>
          <w:sz w:val="24"/>
          <w:lang w:eastAsia="zh-CN"/>
        </w:rPr>
        <w:t>”</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学校坐落于三晋腹地、晋商故里——山西省晋中市，是首批入驻省高校新校园区的10所院校之一。占地面积58.8万平方米，建筑面积39.4万平方米，教学仪器设备总价值1.7亿余元，图书馆藏书132万余册，纸质期刊745种，电子图书85万种。校园网覆盖所有教学、办公、生活场所。设中文系、马克思主义学院（筹）、教育科学与技术系、外语系、音乐系、机械系、旅游管理系、美术系、数学系、物理与电子工程系、化学化工系、生物科学与技术系、信息技术与工程系、体育系、经济管理系、材料科学与工程系、文化产业系、政史系、继续教育学院、远程教育学院（晋中电大分校）、公共外语教学部、公共计算机教学部、公共体育教学部共23个教学单位。本科专业53个，其中2A专业30个：新闻学、汉语言文学、英语、翻译、思想政治教育、小学教育、学前教育、数学与应用数学、数据科学与大数据技术、物理学、电子科学与技术、化学、应用化学、生物科学、生物技术、网络工程、计算机科学与技术、自动化、复合材料与工程、经济学、财务管理、人力资源管理、旅游管理、音乐学、美术学、环境设计、视觉传达设计、网络与新媒体、机械设计制造及自动化、物联网工程。面向全国24个省、直辖市、自治区招生，全日制本科学生20100余名，成人教育学员2190余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现在职教职工1010余人，其中教授、副教授320余人，俄罗斯工程院外籍院士1人，全国优秀教育工作者1人，全国高校优秀思想政治教育工作者1人，省高校中青年拔尖创新人才3人，省学术技术带头人3人，省宣传文化系统</w:t>
      </w:r>
      <w:r>
        <w:rPr>
          <w:rFonts w:hint="eastAsia" w:eastAsia="宋体" w:cs="Times New Roman"/>
          <w:sz w:val="24"/>
          <w:lang w:eastAsia="zh-CN"/>
        </w:rPr>
        <w:t>“</w:t>
      </w:r>
      <w:r>
        <w:rPr>
          <w:rFonts w:hint="default" w:ascii="Times New Roman" w:hAnsi="Times New Roman" w:cs="Times New Roman"/>
          <w:sz w:val="24"/>
        </w:rPr>
        <w:t>四个一批</w:t>
      </w:r>
      <w:r>
        <w:rPr>
          <w:rFonts w:hint="eastAsia" w:eastAsia="宋体" w:cs="Times New Roman"/>
          <w:sz w:val="24"/>
          <w:lang w:eastAsia="zh-CN"/>
        </w:rPr>
        <w:t>”</w:t>
      </w:r>
      <w:r>
        <w:rPr>
          <w:rFonts w:hint="default" w:ascii="Times New Roman" w:hAnsi="Times New Roman" w:cs="Times New Roman"/>
          <w:sz w:val="24"/>
        </w:rPr>
        <w:t>人才3人，</w:t>
      </w:r>
      <w:r>
        <w:rPr>
          <w:rFonts w:hint="eastAsia" w:eastAsia="宋体" w:cs="Times New Roman"/>
          <w:sz w:val="24"/>
          <w:lang w:eastAsia="zh-CN"/>
        </w:rPr>
        <w:t>“</w:t>
      </w:r>
      <w:r>
        <w:rPr>
          <w:rFonts w:hint="default" w:ascii="Times New Roman" w:hAnsi="Times New Roman" w:cs="Times New Roman"/>
          <w:sz w:val="24"/>
        </w:rPr>
        <w:t>三晋英才</w:t>
      </w:r>
      <w:r>
        <w:rPr>
          <w:rFonts w:hint="eastAsia" w:eastAsia="宋体" w:cs="Times New Roman"/>
          <w:sz w:val="24"/>
          <w:lang w:eastAsia="zh-CN"/>
        </w:rPr>
        <w:t>”</w:t>
      </w:r>
      <w:r>
        <w:rPr>
          <w:rFonts w:hint="default" w:ascii="Times New Roman" w:hAnsi="Times New Roman" w:cs="Times New Roman"/>
          <w:sz w:val="24"/>
        </w:rPr>
        <w:t>13人，省高校</w:t>
      </w:r>
      <w:r>
        <w:rPr>
          <w:rFonts w:hint="eastAsia" w:eastAsia="宋体" w:cs="Times New Roman"/>
          <w:sz w:val="24"/>
          <w:lang w:eastAsia="zh-CN"/>
        </w:rPr>
        <w:t>“</w:t>
      </w:r>
      <w:r>
        <w:rPr>
          <w:rFonts w:hint="default" w:ascii="Times New Roman" w:hAnsi="Times New Roman" w:cs="Times New Roman"/>
          <w:sz w:val="24"/>
        </w:rPr>
        <w:t>131工程</w:t>
      </w:r>
      <w:r>
        <w:rPr>
          <w:rFonts w:hint="eastAsia" w:eastAsia="宋体" w:cs="Times New Roman"/>
          <w:sz w:val="24"/>
          <w:lang w:eastAsia="zh-CN"/>
        </w:rPr>
        <w:t>”</w:t>
      </w:r>
      <w:r>
        <w:rPr>
          <w:rFonts w:hint="default" w:ascii="Times New Roman" w:hAnsi="Times New Roman" w:cs="Times New Roman"/>
          <w:sz w:val="24"/>
        </w:rPr>
        <w:t>拔尖创新人才9人，省级教学名师9人，省级劳模2人，具有研究生以上学历的教师760余人，拥有一批知名学者和中青年学术带头人及骨干教师。从北京大学、清华大学等重点大学聘请50多名知名学者为兼职教授、客座教授，其中国家杰青、长江特聘教授、国家级重点学科负责人、万人计划领军人才等4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学校长期注重内涵发展，深化教育教学改革，社会学、生物医药工程、材料科学与工程为省级重点扶持学科，</w:t>
      </w:r>
      <w:r>
        <w:rPr>
          <w:rFonts w:hint="eastAsia" w:eastAsia="宋体" w:cs="Times New Roman"/>
          <w:sz w:val="24"/>
          <w:lang w:eastAsia="zh-CN"/>
        </w:rPr>
        <w:t>“</w:t>
      </w:r>
      <w:r>
        <w:rPr>
          <w:rFonts w:hint="default" w:ascii="Times New Roman" w:hAnsi="Times New Roman" w:cs="Times New Roman"/>
          <w:sz w:val="24"/>
        </w:rPr>
        <w:t>一主一辅一副多能</w:t>
      </w:r>
      <w:r>
        <w:rPr>
          <w:rFonts w:hint="eastAsia" w:eastAsia="宋体" w:cs="Times New Roman"/>
          <w:sz w:val="24"/>
          <w:lang w:eastAsia="zh-CN"/>
        </w:rPr>
        <w:t>”</w:t>
      </w:r>
      <w:r>
        <w:rPr>
          <w:rFonts w:hint="default" w:ascii="Times New Roman" w:hAnsi="Times New Roman" w:cs="Times New Roman"/>
          <w:sz w:val="24"/>
        </w:rPr>
        <w:t>、</w:t>
      </w:r>
      <w:r>
        <w:rPr>
          <w:rFonts w:hint="eastAsia" w:eastAsia="宋体" w:cs="Times New Roman"/>
          <w:sz w:val="24"/>
          <w:lang w:eastAsia="zh-CN"/>
        </w:rPr>
        <w:t>“</w:t>
      </w:r>
      <w:r>
        <w:rPr>
          <w:rFonts w:hint="default" w:ascii="Times New Roman" w:hAnsi="Times New Roman" w:cs="Times New Roman"/>
          <w:sz w:val="24"/>
        </w:rPr>
        <w:t>两课3+1+1教育教学模式的理论思考与实践探索</w:t>
      </w:r>
      <w:r>
        <w:rPr>
          <w:rFonts w:hint="eastAsia" w:eastAsia="宋体" w:cs="Times New Roman"/>
          <w:sz w:val="24"/>
          <w:lang w:eastAsia="zh-CN"/>
        </w:rPr>
        <w:t>”</w:t>
      </w:r>
      <w:r>
        <w:rPr>
          <w:rFonts w:hint="default" w:ascii="Times New Roman" w:hAnsi="Times New Roman" w:cs="Times New Roman"/>
          <w:sz w:val="24"/>
        </w:rPr>
        <w:t>等20多项教改课题曾获国家级和省、部级教学成果奖。学校先后承担国家级和省级以上科研课题570余项。在省级以上出版社出版论著、教材540多部，获省级以上奖励100余项。在省级以上刊物发表学术论文2000余篇，其中有250多篇论文被SCI、EI、SSCI等收录。获批完成</w:t>
      </w:r>
      <w:r>
        <w:rPr>
          <w:rFonts w:hint="eastAsia" w:eastAsia="宋体" w:cs="Times New Roman"/>
          <w:sz w:val="24"/>
          <w:lang w:eastAsia="zh-CN"/>
        </w:rPr>
        <w:t>“</w:t>
      </w:r>
      <w:r>
        <w:rPr>
          <w:rFonts w:hint="default" w:ascii="Times New Roman" w:hAnsi="Times New Roman" w:cs="Times New Roman"/>
          <w:sz w:val="24"/>
        </w:rPr>
        <w:t>山西省首批教育评价改革试点项目</w:t>
      </w:r>
      <w:r>
        <w:rPr>
          <w:rFonts w:hint="eastAsia" w:eastAsia="宋体" w:cs="Times New Roman"/>
          <w:sz w:val="24"/>
          <w:lang w:eastAsia="zh-CN"/>
        </w:rPr>
        <w:t>”</w:t>
      </w:r>
      <w:r>
        <w:rPr>
          <w:rFonts w:hint="default" w:ascii="Times New Roman" w:hAnsi="Times New Roman" w:cs="Times New Roman"/>
          <w:sz w:val="24"/>
        </w:rPr>
        <w:t>，是全省同类院校唯一获批的高校。获批</w:t>
      </w:r>
      <w:r>
        <w:rPr>
          <w:rFonts w:hint="eastAsia" w:eastAsia="宋体" w:cs="Times New Roman"/>
          <w:sz w:val="24"/>
          <w:lang w:eastAsia="zh-CN"/>
        </w:rPr>
        <w:t>“</w:t>
      </w:r>
      <w:r>
        <w:rPr>
          <w:rFonts w:hint="default" w:ascii="Times New Roman" w:hAnsi="Times New Roman" w:cs="Times New Roman"/>
          <w:sz w:val="24"/>
        </w:rPr>
        <w:t>十四五</w:t>
      </w:r>
      <w:r>
        <w:rPr>
          <w:rFonts w:hint="eastAsia" w:eastAsia="宋体" w:cs="Times New Roman"/>
          <w:sz w:val="24"/>
          <w:lang w:eastAsia="zh-CN"/>
        </w:rPr>
        <w:t>”</w:t>
      </w:r>
      <w:r>
        <w:rPr>
          <w:rFonts w:hint="default" w:ascii="Times New Roman" w:hAnsi="Times New Roman" w:cs="Times New Roman"/>
          <w:sz w:val="24"/>
        </w:rPr>
        <w:t>教育强国工程、全省首批产教融合实训基地重点建设项目。建有晋中文化生态研究中心、晋商文化研究中心、毽球研究中心、多功能热控材料研究中心等多个科研研究机构。承办全民健身与奥运同行2006年</w:t>
      </w:r>
      <w:r>
        <w:rPr>
          <w:rFonts w:hint="eastAsia" w:eastAsia="宋体" w:cs="Times New Roman"/>
          <w:sz w:val="24"/>
          <w:lang w:eastAsia="zh-CN"/>
        </w:rPr>
        <w:t>“</w:t>
      </w:r>
      <w:r>
        <w:rPr>
          <w:rFonts w:hint="default" w:ascii="Times New Roman" w:hAnsi="Times New Roman" w:cs="Times New Roman"/>
          <w:sz w:val="24"/>
        </w:rPr>
        <w:t>体彩杯</w:t>
      </w:r>
      <w:r>
        <w:rPr>
          <w:rFonts w:hint="eastAsia" w:eastAsia="宋体" w:cs="Times New Roman"/>
          <w:sz w:val="24"/>
          <w:lang w:eastAsia="zh-CN"/>
        </w:rPr>
        <w:t>”</w:t>
      </w:r>
      <w:r>
        <w:rPr>
          <w:rFonts w:hint="default" w:ascii="Times New Roman" w:hAnsi="Times New Roman" w:cs="Times New Roman"/>
          <w:sz w:val="24"/>
        </w:rPr>
        <w:t>全国毽球培训推广活动和全国毽球教练员、裁判员培训暨毽球国家级裁判员考试。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学校十分重视人才培养质量，组织开展</w:t>
      </w:r>
      <w:r>
        <w:rPr>
          <w:rFonts w:hint="eastAsia" w:eastAsia="宋体" w:cs="Times New Roman"/>
          <w:sz w:val="24"/>
          <w:lang w:eastAsia="zh-CN"/>
        </w:rPr>
        <w:t>“</w:t>
      </w:r>
      <w:r>
        <w:rPr>
          <w:rFonts w:hint="default" w:ascii="Times New Roman" w:hAnsi="Times New Roman" w:cs="Times New Roman"/>
          <w:sz w:val="24"/>
        </w:rPr>
        <w:t>16351</w:t>
      </w:r>
      <w:r>
        <w:rPr>
          <w:rFonts w:hint="eastAsia" w:eastAsia="宋体" w:cs="Times New Roman"/>
          <w:sz w:val="24"/>
          <w:lang w:eastAsia="zh-CN"/>
        </w:rPr>
        <w:t>”</w:t>
      </w:r>
      <w:r>
        <w:rPr>
          <w:rFonts w:hint="default" w:ascii="Times New Roman" w:hAnsi="Times New Roman" w:cs="Times New Roman"/>
          <w:sz w:val="24"/>
        </w:rPr>
        <w:t>人才培养体系省级重点教改项目，全方位推动</w:t>
      </w:r>
      <w:r>
        <w:rPr>
          <w:rFonts w:hint="eastAsia" w:eastAsia="宋体" w:cs="Times New Roman"/>
          <w:sz w:val="24"/>
          <w:lang w:eastAsia="zh-CN"/>
        </w:rPr>
        <w:t>“</w:t>
      </w:r>
      <w:r>
        <w:rPr>
          <w:rFonts w:hint="default" w:ascii="Times New Roman" w:hAnsi="Times New Roman" w:cs="Times New Roman"/>
          <w:sz w:val="24"/>
        </w:rPr>
        <w:t>三全育人</w:t>
      </w:r>
      <w:r>
        <w:rPr>
          <w:rFonts w:hint="eastAsia" w:eastAsia="宋体" w:cs="Times New Roman"/>
          <w:sz w:val="24"/>
          <w:lang w:eastAsia="zh-CN"/>
        </w:rPr>
        <w:t>”</w:t>
      </w:r>
      <w:r>
        <w:rPr>
          <w:rFonts w:hint="default" w:ascii="Times New Roman" w:hAnsi="Times New Roman" w:cs="Times New Roman"/>
          <w:sz w:val="24"/>
        </w:rPr>
        <w:t>和</w:t>
      </w:r>
      <w:r>
        <w:rPr>
          <w:rFonts w:hint="eastAsia" w:eastAsia="宋体" w:cs="Times New Roman"/>
          <w:sz w:val="24"/>
          <w:lang w:eastAsia="zh-CN"/>
        </w:rPr>
        <w:t>“</w:t>
      </w:r>
      <w:r>
        <w:rPr>
          <w:rFonts w:hint="default" w:ascii="Times New Roman" w:hAnsi="Times New Roman" w:cs="Times New Roman"/>
          <w:sz w:val="24"/>
        </w:rPr>
        <w:t>十育人</w:t>
      </w:r>
      <w:r>
        <w:rPr>
          <w:rFonts w:hint="eastAsia" w:eastAsia="宋体" w:cs="Times New Roman"/>
          <w:sz w:val="24"/>
          <w:lang w:eastAsia="zh-CN"/>
        </w:rPr>
        <w:t>”</w:t>
      </w:r>
      <w:r>
        <w:rPr>
          <w:rFonts w:hint="default" w:ascii="Times New Roman" w:hAnsi="Times New Roman" w:cs="Times New Roman"/>
          <w:sz w:val="24"/>
        </w:rPr>
        <w:t>一体化建设，积极推动</w:t>
      </w:r>
      <w:r>
        <w:rPr>
          <w:rFonts w:hint="eastAsia" w:eastAsia="宋体" w:cs="Times New Roman"/>
          <w:sz w:val="24"/>
          <w:lang w:eastAsia="zh-CN"/>
        </w:rPr>
        <w:t>“</w:t>
      </w:r>
      <w:r>
        <w:rPr>
          <w:rFonts w:hint="default" w:ascii="Times New Roman" w:hAnsi="Times New Roman" w:cs="Times New Roman"/>
          <w:sz w:val="24"/>
        </w:rPr>
        <w:t>一站式</w:t>
      </w:r>
      <w:r>
        <w:rPr>
          <w:rFonts w:hint="eastAsia" w:eastAsia="宋体" w:cs="Times New Roman"/>
          <w:sz w:val="24"/>
          <w:lang w:eastAsia="zh-CN"/>
        </w:rPr>
        <w:t>”</w:t>
      </w:r>
      <w:r>
        <w:rPr>
          <w:rFonts w:hint="default" w:ascii="Times New Roman" w:hAnsi="Times New Roman" w:cs="Times New Roman"/>
          <w:sz w:val="24"/>
        </w:rPr>
        <w:t>学生社区综合管理服务，组织开展德育劳动课教育，着力培养德智体美劳全面发展的高素质建设者和接班人。近年新生录取分数线连续位居全省同类学校首位，学生一次性就业率位于全省同类学校前列，各专业本科生考研率平均保持在20%以上。学生在近年全国数学建模大赛、机械创新设计大赛、工程训练综合能力竞赛、三维数字化创新设计大赛、英语竞赛、艺术比赛中获得100余个全国奖项。学校毽球队在全国大学生运动会、全国毽球锦标赛、世界毽球锦标赛多次夺得女子团体冠军、男子双打冠军、男子单打冠军、男子团体亚军、女子双打亚军、混合双打亚军。第二届全国青年运动会上，体育系学生陈竹勇夺44公斤级中国式摔跤冠军。全国首届学青会上，体育系学生罗江庆获得毽球项目大学生组男子个人规定套路季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学校长期以晋中本土文化研究为己任，建有省级研究基地晋中文化生态研究中心，左权民间音乐舞蹈、晋商大院建筑</w:t>
      </w:r>
      <w:r>
        <w:rPr>
          <w:rFonts w:hint="eastAsia" w:eastAsia="宋体" w:cs="Times New Roman"/>
          <w:sz w:val="24"/>
          <w:lang w:eastAsia="zh-CN"/>
        </w:rPr>
        <w:t>“</w:t>
      </w:r>
      <w:r>
        <w:rPr>
          <w:rFonts w:hint="default" w:ascii="Times New Roman" w:hAnsi="Times New Roman" w:cs="Times New Roman"/>
          <w:sz w:val="24"/>
        </w:rPr>
        <w:t>三雕</w:t>
      </w:r>
      <w:r>
        <w:rPr>
          <w:rFonts w:hint="eastAsia" w:eastAsia="宋体" w:cs="Times New Roman"/>
          <w:sz w:val="24"/>
          <w:lang w:eastAsia="zh-CN"/>
        </w:rPr>
        <w:t>”</w:t>
      </w:r>
      <w:r>
        <w:rPr>
          <w:rFonts w:hint="default" w:ascii="Times New Roman" w:hAnsi="Times New Roman" w:cs="Times New Roman"/>
          <w:sz w:val="24"/>
        </w:rPr>
        <w:t>装饰艺术和形（心）意拳3个山西省优秀传统文化艺术教育基地，承担省文旅厅</w:t>
      </w:r>
      <w:r>
        <w:rPr>
          <w:rFonts w:hint="eastAsia" w:eastAsia="宋体" w:cs="Times New Roman"/>
          <w:sz w:val="24"/>
          <w:lang w:eastAsia="zh-CN"/>
        </w:rPr>
        <w:t>“</w:t>
      </w:r>
      <w:r>
        <w:rPr>
          <w:rFonts w:hint="default" w:ascii="Times New Roman" w:hAnsi="Times New Roman" w:cs="Times New Roman"/>
          <w:sz w:val="24"/>
        </w:rPr>
        <w:t>游山西·读历史</w:t>
      </w:r>
      <w:r>
        <w:rPr>
          <w:rFonts w:hint="eastAsia" w:eastAsia="宋体" w:cs="Times New Roman"/>
          <w:sz w:val="24"/>
          <w:lang w:eastAsia="zh-CN"/>
        </w:rPr>
        <w:t>”</w:t>
      </w:r>
      <w:r>
        <w:rPr>
          <w:rFonts w:hint="default" w:ascii="Times New Roman" w:hAnsi="Times New Roman" w:cs="Times New Roman"/>
          <w:sz w:val="24"/>
        </w:rPr>
        <w:t>科研站建设项目2项，在音乐系开设了</w:t>
      </w:r>
      <w:r>
        <w:rPr>
          <w:rFonts w:hint="eastAsia" w:eastAsia="宋体" w:cs="Times New Roman"/>
          <w:sz w:val="24"/>
          <w:lang w:eastAsia="zh-CN"/>
        </w:rPr>
        <w:t>“</w:t>
      </w:r>
      <w:r>
        <w:rPr>
          <w:rFonts w:hint="default" w:ascii="Times New Roman" w:hAnsi="Times New Roman" w:cs="Times New Roman"/>
          <w:sz w:val="24"/>
        </w:rPr>
        <w:t>原生态民歌</w:t>
      </w:r>
      <w:r>
        <w:rPr>
          <w:rFonts w:hint="eastAsia" w:eastAsia="宋体" w:cs="Times New Roman"/>
          <w:sz w:val="24"/>
          <w:lang w:eastAsia="zh-CN"/>
        </w:rPr>
        <w:t>”“</w:t>
      </w:r>
      <w:r>
        <w:rPr>
          <w:rFonts w:hint="default" w:ascii="Times New Roman" w:hAnsi="Times New Roman" w:cs="Times New Roman"/>
          <w:sz w:val="24"/>
        </w:rPr>
        <w:t>左权民歌</w:t>
      </w:r>
      <w:r>
        <w:rPr>
          <w:rFonts w:hint="eastAsia" w:eastAsia="宋体" w:cs="Times New Roman"/>
          <w:sz w:val="24"/>
          <w:lang w:eastAsia="zh-CN"/>
        </w:rPr>
        <w:t>”“</w:t>
      </w:r>
      <w:r>
        <w:rPr>
          <w:rFonts w:hint="default" w:ascii="Times New Roman" w:hAnsi="Times New Roman" w:cs="Times New Roman"/>
          <w:sz w:val="24"/>
        </w:rPr>
        <w:t>祁太秧歌</w:t>
      </w:r>
      <w:r>
        <w:rPr>
          <w:rFonts w:hint="eastAsia" w:eastAsia="宋体" w:cs="Times New Roman"/>
          <w:sz w:val="24"/>
          <w:lang w:eastAsia="zh-CN"/>
        </w:rPr>
        <w:t>”</w:t>
      </w:r>
      <w:r>
        <w:rPr>
          <w:rFonts w:hint="default" w:ascii="Times New Roman" w:hAnsi="Times New Roman" w:cs="Times New Roman"/>
          <w:sz w:val="24"/>
        </w:rPr>
        <w:t>等课程，成立了</w:t>
      </w:r>
      <w:r>
        <w:rPr>
          <w:rFonts w:hint="eastAsia" w:eastAsia="宋体" w:cs="Times New Roman"/>
          <w:sz w:val="24"/>
          <w:lang w:eastAsia="zh-CN"/>
        </w:rPr>
        <w:t>“</w:t>
      </w:r>
      <w:r>
        <w:rPr>
          <w:rFonts w:hint="default" w:ascii="Times New Roman" w:hAnsi="Times New Roman" w:cs="Times New Roman"/>
          <w:sz w:val="24"/>
        </w:rPr>
        <w:t>亲圪蛋组合</w:t>
      </w:r>
      <w:r>
        <w:rPr>
          <w:rFonts w:hint="eastAsia" w:eastAsia="宋体" w:cs="Times New Roman"/>
          <w:sz w:val="24"/>
          <w:lang w:eastAsia="zh-CN"/>
        </w:rPr>
        <w:t>”</w:t>
      </w:r>
      <w:r>
        <w:rPr>
          <w:rFonts w:hint="default" w:ascii="Times New Roman" w:hAnsi="Times New Roman" w:cs="Times New Roman"/>
          <w:sz w:val="24"/>
        </w:rPr>
        <w:t>，音乐学被教育部批准为国家级特色专业。同时对晋商大院雕刻艺术、形意拳等开展研究，形成了一批特色鲜明的研究团队与研究成果。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学校不断拓展开放办学之路，加强国际交流合作，与芬兰坦佩雷大学、英国赫特福德大学、加拿大希尔克学院、美国加利福尼亚理工大学、泰国泰华教育协会等23所国外大学和研究机构签订合作及联合办学协议，与瑞典布莱京理工学院、北京科技大学共同创建中欧文旅元宇宙联合研究中心，与北京科技大学、坦桑尼亚国家运输研究所、布莱京理工学院、中远海运科技（北京）有限公司创建绿色智能交通联合实验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学校坚持以习近平新时代中国特色社会主义思想为指导，深入学习贯彻党的二十大精神、习近平总书记考察调研山西重要讲话重要指示精神和关于教育的重要论述，扎实开展学习贯彻习近平新时代中国特色社会主义思想主题教育，坚持以政治建设为统领，以加强党建为龙头，以立德树人为根本，以人才培养为中心，以迎接审核评估、强化硕单建设为重心，以从严规范管理、狠抓执行落实为抓手，以主动改革创新、积极担当作为为动力，以全面从严治党、净化政治生态为保障，聚焦全方位推动办学治校育人高质量发展目标要求，守住安全稳定、党风廉政两条底线，抓好应用转型、内涵建设、特色发展三个关键，突出干部担当作为、严格规范管理、狠抓执行落实、团结实干奉献四个重点，开展人才引育、作风建设、审核评估、学科硕单、清廉晋院五项行动，实施党建引领、思政铸魂、质量立校、学科强校、人才兴校、特色荣校、校地合作、改革创新、依法治校九大战略，全力推进落实</w:t>
      </w:r>
      <w:r>
        <w:rPr>
          <w:rFonts w:hint="eastAsia" w:eastAsia="宋体" w:cs="Times New Roman"/>
          <w:sz w:val="24"/>
          <w:lang w:eastAsia="zh-CN"/>
        </w:rPr>
        <w:t>“</w:t>
      </w:r>
      <w:r>
        <w:rPr>
          <w:rFonts w:hint="default" w:ascii="Times New Roman" w:hAnsi="Times New Roman" w:cs="Times New Roman"/>
          <w:sz w:val="24"/>
        </w:rPr>
        <w:t>十四五</w:t>
      </w:r>
      <w:r>
        <w:rPr>
          <w:rFonts w:hint="eastAsia" w:eastAsia="宋体" w:cs="Times New Roman"/>
          <w:sz w:val="24"/>
          <w:lang w:eastAsia="zh-CN"/>
        </w:rPr>
        <w:t>”</w:t>
      </w:r>
      <w:r>
        <w:rPr>
          <w:rFonts w:hint="default" w:ascii="Times New Roman" w:hAnsi="Times New Roman" w:cs="Times New Roman"/>
          <w:sz w:val="24"/>
        </w:rPr>
        <w:t>规划及2035年远景目标任务，全面落实第三次党代会提出的</w:t>
      </w:r>
      <w:r>
        <w:rPr>
          <w:rFonts w:hint="eastAsia" w:eastAsia="宋体" w:cs="Times New Roman"/>
          <w:sz w:val="24"/>
          <w:lang w:eastAsia="zh-CN"/>
        </w:rPr>
        <w:t>“</w:t>
      </w:r>
      <w:r>
        <w:rPr>
          <w:rFonts w:hint="default" w:ascii="Times New Roman" w:hAnsi="Times New Roman" w:cs="Times New Roman"/>
          <w:sz w:val="24"/>
        </w:rPr>
        <w:t>1359</w:t>
      </w:r>
      <w:r>
        <w:rPr>
          <w:rFonts w:hint="eastAsia" w:eastAsia="宋体" w:cs="Times New Roman"/>
          <w:sz w:val="24"/>
          <w:lang w:eastAsia="zh-CN"/>
        </w:rPr>
        <w:t>”</w:t>
      </w:r>
      <w:r>
        <w:rPr>
          <w:rFonts w:hint="default" w:ascii="Times New Roman" w:hAnsi="Times New Roman" w:cs="Times New Roman"/>
          <w:sz w:val="24"/>
        </w:rPr>
        <w:t>发展思路和要求，全面提升办学治校育人高质量发展水平、服务山西与晋中发展贡献度，努力办好党和人民满意的晋中学院。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晋中学院正以崭新的奋进姿态，昂首迈向更加辉煌的明天！</w:t>
      </w:r>
    </w:p>
    <w:p>
      <w:pPr>
        <w:shd w:val="clear" w:color="auto" w:fill="0F6FC6"/>
        <w:jc w:val="center"/>
        <w:outlineLvl w:val="0"/>
        <w:rPr>
          <w:rFonts w:hint="default" w:ascii="Times New Roman" w:hAnsi="Times New Roman" w:eastAsia="华文中宋" w:cs="Times New Roman"/>
          <w:b/>
          <w:color w:val="FFFFFF"/>
          <w:sz w:val="36"/>
          <w:lang w:val="en-US" w:eastAsia="zh-CN"/>
        </w:rPr>
      </w:pPr>
      <w:r>
        <w:rPr>
          <w:rFonts w:hint="default" w:ascii="Times New Roman" w:hAnsi="Times New Roman" w:cs="Times New Roman"/>
        </w:rPr>
        <w:br w:type="page"/>
      </w:r>
      <w:bookmarkStart w:id="1" w:name="_Toc8771"/>
      <w:bookmarkStart w:id="2" w:name="_Toc10109"/>
      <w:r>
        <w:rPr>
          <w:rFonts w:hint="default" w:ascii="Times New Roman" w:hAnsi="Times New Roman" w:eastAsia="华文中宋" w:cs="Times New Roman"/>
          <w:b/>
          <w:color w:val="FFFFFF"/>
          <w:sz w:val="36"/>
          <w:lang w:val="en-US" w:eastAsia="zh-CN"/>
        </w:rPr>
        <w:t>报告说明</w:t>
      </w:r>
      <w:bookmarkEnd w:id="1"/>
      <w:bookmarkEnd w:id="2"/>
    </w:p>
    <w:p>
      <w:pPr>
        <w:rPr>
          <w:rFonts w:hint="default" w:ascii="Times New Roman" w:hAnsi="Times New Roman" w:cs="Times New Roman"/>
        </w:rPr>
      </w:pPr>
      <w:r>
        <w:rPr>
          <w:rFonts w:hint="default" w:ascii="Times New Roman" w:hAnsi="Times New Roman" w:cs="Times New Roman"/>
        </w:rPr>
        <w: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highlight w:val="none"/>
          <w:lang w:val="zh-CN" w:eastAsia="zh-CN"/>
        </w:rPr>
      </w:pPr>
      <w:r>
        <w:rPr>
          <w:rFonts w:hint="default" w:ascii="Times New Roman" w:hAnsi="Times New Roman" w:eastAsia="宋体" w:cs="Times New Roman"/>
          <w:b w:val="0"/>
          <w:bCs/>
          <w:caps w:val="0"/>
          <w:color w:val="000000"/>
          <w:sz w:val="24"/>
          <w:szCs w:val="30"/>
          <w:highlight w:val="none"/>
          <w:u w:color="auto"/>
          <w:lang w:val="zh-CN" w:eastAsia="zh-CN" w:bidi="ar-SA"/>
        </w:rPr>
        <w:t>为全面反映毕业生的就业状况，建立起就业与人才培养良性互动的长效机制，根据《教育部办公厅关于编制发布高校毕业生就业质量年度报告的通知》（教学厅函〔2013〕25号）和《教育部关于做好202</w:t>
      </w:r>
      <w:r>
        <w:rPr>
          <w:rFonts w:hint="default" w:ascii="Times New Roman" w:hAnsi="Times New Roman" w:eastAsia="宋体" w:cs="Times New Roman"/>
          <w:b w:val="0"/>
          <w:bCs/>
          <w:caps w:val="0"/>
          <w:color w:val="000000"/>
          <w:sz w:val="24"/>
          <w:szCs w:val="30"/>
          <w:highlight w:val="none"/>
          <w:u w:color="auto"/>
          <w:lang w:val="en-US" w:eastAsia="zh-CN" w:bidi="ar-SA"/>
        </w:rPr>
        <w:t>3</w:t>
      </w:r>
      <w:r>
        <w:rPr>
          <w:rFonts w:hint="default" w:ascii="Times New Roman" w:hAnsi="Times New Roman" w:eastAsia="宋体" w:cs="Times New Roman"/>
          <w:b w:val="0"/>
          <w:bCs/>
          <w:caps w:val="0"/>
          <w:color w:val="000000"/>
          <w:sz w:val="24"/>
          <w:szCs w:val="30"/>
          <w:highlight w:val="none"/>
          <w:u w:color="auto"/>
          <w:lang w:val="zh-CN" w:eastAsia="zh-CN" w:bidi="ar-SA"/>
        </w:rPr>
        <w:t>届全国普通高校毕业生就业创业工作的通知》（教学〔202</w:t>
      </w:r>
      <w:r>
        <w:rPr>
          <w:rFonts w:hint="default" w:ascii="Times New Roman" w:hAnsi="Times New Roman" w:eastAsia="宋体" w:cs="Times New Roman"/>
          <w:b w:val="0"/>
          <w:bCs/>
          <w:caps w:val="0"/>
          <w:color w:val="000000"/>
          <w:sz w:val="24"/>
          <w:szCs w:val="30"/>
          <w:highlight w:val="none"/>
          <w:u w:color="auto"/>
          <w:lang w:val="en-US" w:eastAsia="zh-CN" w:bidi="ar-SA"/>
        </w:rPr>
        <w:t>2</w:t>
      </w:r>
      <w:r>
        <w:rPr>
          <w:rFonts w:hint="default" w:ascii="Times New Roman" w:hAnsi="Times New Roman" w:eastAsia="宋体" w:cs="Times New Roman"/>
          <w:b w:val="0"/>
          <w:bCs/>
          <w:caps w:val="0"/>
          <w:color w:val="000000"/>
          <w:sz w:val="24"/>
          <w:szCs w:val="30"/>
          <w:highlight w:val="none"/>
          <w:u w:color="auto"/>
          <w:lang w:val="zh-CN" w:eastAsia="zh-CN" w:bidi="ar-SA"/>
        </w:rPr>
        <w:t>〕5号）相关文件精神的要求，结合学校实际情况对2023届毕业生及相关用人单位进行跟踪调研。</w:t>
      </w:r>
    </w:p>
    <w:p>
      <w:pPr>
        <w:pStyle w:val="17"/>
        <w:bidi w:val="0"/>
        <w:rPr>
          <w:rFonts w:hint="default" w:ascii="Times New Roman" w:hAnsi="Times New Roman" w:eastAsia="宋体" w:cs="Times New Roman"/>
          <w:caps w:val="0"/>
          <w:highlight w:val="none"/>
          <w:lang w:val="en-US" w:eastAsia="zh-CN"/>
        </w:rPr>
      </w:pPr>
    </w:p>
    <w:p>
      <w:pPr>
        <w:pStyle w:val="17"/>
        <w:bidi w:val="0"/>
        <w:rPr>
          <w:rFonts w:hint="default" w:ascii="Times New Roman" w:hAnsi="Times New Roman" w:eastAsia="宋体" w:cs="Times New Roman"/>
          <w:b/>
          <w:bCs/>
          <w:caps w:val="0"/>
          <w:color w:val="auto"/>
          <w:highlight w:val="none"/>
          <w:lang w:val="en-US" w:eastAsia="zh-CN"/>
        </w:rPr>
      </w:pPr>
      <w:r>
        <w:rPr>
          <w:rFonts w:hint="default" w:ascii="Times New Roman" w:hAnsi="Times New Roman" w:eastAsia="宋体" w:cs="Times New Roman"/>
          <w:b/>
          <w:bCs/>
          <w:caps w:val="0"/>
          <w:color w:val="auto"/>
          <w:highlight w:val="none"/>
          <w:lang w:val="en-US" w:eastAsia="zh-CN"/>
        </w:rPr>
        <w:t>报告中的数据来源于两个方面：</w:t>
      </w:r>
    </w:p>
    <w:p>
      <w:pPr>
        <w:pStyle w:val="17"/>
        <w:keepNext w:val="0"/>
        <w:keepLines w:val="0"/>
        <w:pageBreakBefore w:val="0"/>
        <w:widowControl/>
        <w:kinsoku/>
        <w:wordWrap/>
        <w:overflowPunct/>
        <w:topLinePunct w:val="0"/>
        <w:autoSpaceDE/>
        <w:autoSpaceDN/>
        <w:bidi w:val="0"/>
        <w:adjustRightInd/>
        <w:snapToGrid/>
        <w:ind w:left="1680" w:leftChars="800" w:firstLine="0" w:firstLineChars="0"/>
        <w:textAlignment w:val="auto"/>
        <w:rPr>
          <w:rFonts w:hint="default" w:ascii="Times New Roman" w:hAnsi="Times New Roman" w:eastAsia="宋体" w:cs="Times New Roman"/>
          <w:b/>
          <w:bCs/>
          <w:caps w:val="0"/>
          <w:color w:val="0070C0"/>
          <w:highlight w:val="none"/>
          <w:lang w:val="zh-CN" w:eastAsia="zh-CN"/>
        </w:rPr>
      </w:pPr>
      <w:r>
        <w:rPr>
          <w:rFonts w:hint="default" w:ascii="Times New Roman" w:hAnsi="Times New Roman" w:eastAsia="宋体" w:cs="Times New Roman"/>
          <w:b w:val="0"/>
          <w:bCs/>
          <w:caps w:val="0"/>
          <w:color w:val="000000"/>
          <w:sz w:val="24"/>
          <w:szCs w:val="30"/>
          <w:highlight w:val="none"/>
          <w:u w:color="auto"/>
          <w:lang w:val="zh-CN" w:eastAsia="zh-CN" w:bidi="ar-SA"/>
        </w:rPr>
        <w:drawing>
          <wp:anchor distT="0" distB="0" distL="114300" distR="114300" simplePos="0" relativeHeight="251663360" behindDoc="0" locked="0" layoutInCell="1" allowOverlap="1">
            <wp:simplePos x="0" y="0"/>
            <wp:positionH relativeFrom="column">
              <wp:posOffset>133350</wp:posOffset>
            </wp:positionH>
            <wp:positionV relativeFrom="margin">
              <wp:posOffset>2601595</wp:posOffset>
            </wp:positionV>
            <wp:extent cx="720090" cy="720090"/>
            <wp:effectExtent l="0" t="0" r="3810" b="3810"/>
            <wp:wrapNone/>
            <wp:docPr id="136" name="图片 136" descr="32313535363537353b32313535363439323b51734e8e62114eec5b66682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1367936065&quot;}"/>
                  </s:tag>
                </a:ext>
              </a:extLst>
            </wp:cNvGraphicFramePr>
            <a:graphic xmlns:a="http://schemas.openxmlformats.org/drawingml/2006/main">
              <a:graphicData uri="http://schemas.openxmlformats.org/drawingml/2006/picture">
                <pic:pic xmlns:pic="http://schemas.openxmlformats.org/drawingml/2006/picture">
                  <pic:nvPicPr>
                    <pic:cNvPr id="136" name="图片 136" descr="32313535363537353b32313535363439323b51734e8e62114eec5b666821"/>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720090" cy="720090"/>
                    </a:xfrm>
                    <a:prstGeom prst="rect">
                      <a:avLst/>
                    </a:prstGeom>
                  </pic:spPr>
                </pic:pic>
              </a:graphicData>
            </a:graphic>
          </wp:anchor>
        </w:drawing>
      </w:r>
      <w:r>
        <w:rPr>
          <w:rFonts w:hint="default" w:ascii="Times New Roman" w:hAnsi="Times New Roman" w:cs="Times New Roman"/>
          <w:b/>
          <w:bCs/>
          <w:caps w:val="0"/>
          <w:color w:val="0070C0"/>
          <w:highlight w:val="none"/>
          <w:lang w:val="en-US" w:eastAsia="zh-CN"/>
        </w:rPr>
        <w:t>晋中学院</w:t>
      </w:r>
      <w:r>
        <w:rPr>
          <w:rFonts w:hint="default" w:ascii="Times New Roman" w:hAnsi="Times New Roman" w:eastAsia="宋体" w:cs="Times New Roman"/>
          <w:b/>
          <w:bCs/>
          <w:caps w:val="0"/>
          <w:color w:val="0070C0"/>
          <w:highlight w:val="none"/>
          <w:lang w:val="zh-CN" w:eastAsia="zh-CN"/>
        </w:rPr>
        <w:t>就业信息管理</w:t>
      </w:r>
      <w:r>
        <w:rPr>
          <w:rFonts w:hint="default" w:ascii="Times New Roman" w:hAnsi="Times New Roman" w:eastAsia="宋体" w:cs="Times New Roman"/>
          <w:b/>
          <w:bCs/>
          <w:caps w:val="0"/>
          <w:color w:val="0070C0"/>
          <w:highlight w:val="none"/>
          <w:lang w:val="en-US" w:eastAsia="zh-CN"/>
        </w:rPr>
        <w:t>系</w:t>
      </w:r>
      <w:r>
        <w:rPr>
          <w:rFonts w:hint="default" w:ascii="Times New Roman" w:hAnsi="Times New Roman" w:eastAsia="宋体" w:cs="Times New Roman"/>
          <w:b/>
          <w:bCs/>
          <w:caps w:val="0"/>
          <w:color w:val="0070C0"/>
          <w:highlight w:val="none"/>
          <w:lang w:val="zh-CN" w:eastAsia="zh-CN"/>
        </w:rPr>
        <w:t>统</w:t>
      </w:r>
    </w:p>
    <w:p>
      <w:pPr>
        <w:keepNext w:val="0"/>
        <w:keepLines w:val="0"/>
        <w:pageBreakBefore w:val="0"/>
        <w:widowControl w:val="0"/>
        <w:kinsoku/>
        <w:wordWrap/>
        <w:overflowPunct/>
        <w:topLinePunct w:val="0"/>
        <w:autoSpaceDE/>
        <w:autoSpaceDN/>
        <w:bidi w:val="0"/>
        <w:adjustRightInd/>
        <w:snapToGrid/>
        <w:spacing w:line="360" w:lineRule="auto"/>
        <w:ind w:left="1676" w:leftChars="798" w:firstLine="0" w:firstLineChars="0"/>
        <w:textAlignment w:val="auto"/>
        <w:rPr>
          <w:rFonts w:hint="default" w:ascii="Times New Roman" w:hAnsi="Times New Roman" w:eastAsia="宋体" w:cs="Times New Roman"/>
          <w:caps w:val="0"/>
          <w:color w:val="000000"/>
          <w:sz w:val="24"/>
          <w:szCs w:val="24"/>
          <w:highlight w:val="none"/>
          <w:lang w:val="zh-CN" w:eastAsia="zh-CN"/>
        </w:rPr>
      </w:pPr>
      <w:r>
        <w:rPr>
          <w:rFonts w:hint="default" w:ascii="Times New Roman" w:hAnsi="Times New Roman" w:eastAsia="宋体" w:cs="Times New Roman"/>
          <w:caps w:val="0"/>
          <w:color w:val="000000"/>
          <w:sz w:val="24"/>
          <w:szCs w:val="24"/>
          <w:highlight w:val="none"/>
          <w:lang w:val="zh-CN" w:eastAsia="zh-CN"/>
        </w:rPr>
        <w:t>数</w:t>
      </w:r>
      <w:r>
        <w:rPr>
          <w:rFonts w:hint="default" w:ascii="Times New Roman" w:hAnsi="Times New Roman" w:eastAsia="宋体" w:cs="Times New Roman"/>
          <w:b w:val="0"/>
          <w:bCs/>
          <w:caps w:val="0"/>
          <w:color w:val="000000"/>
          <w:sz w:val="24"/>
          <w:szCs w:val="30"/>
          <w:highlight w:val="none"/>
          <w:u w:color="auto"/>
          <w:lang w:val="zh-CN" w:eastAsia="zh-CN" w:bidi="ar-SA"/>
        </w:rPr>
        <w:t>据统计截止日期为202</w:t>
      </w:r>
      <w:r>
        <w:rPr>
          <w:rFonts w:hint="default" w:ascii="Times New Roman" w:hAnsi="Times New Roman" w:eastAsia="宋体" w:cs="Times New Roman"/>
          <w:b w:val="0"/>
          <w:bCs/>
          <w:caps w:val="0"/>
          <w:color w:val="000000"/>
          <w:sz w:val="24"/>
          <w:szCs w:val="30"/>
          <w:highlight w:val="none"/>
          <w:u w:color="auto"/>
          <w:lang w:val="en-US" w:eastAsia="zh-CN" w:bidi="ar-SA"/>
        </w:rPr>
        <w:t>3</w:t>
      </w:r>
      <w:r>
        <w:rPr>
          <w:rFonts w:hint="default" w:ascii="Times New Roman" w:hAnsi="Times New Roman" w:eastAsia="宋体" w:cs="Times New Roman"/>
          <w:b w:val="0"/>
          <w:bCs/>
          <w:caps w:val="0"/>
          <w:color w:val="000000"/>
          <w:sz w:val="24"/>
          <w:szCs w:val="30"/>
          <w:highlight w:val="none"/>
          <w:u w:color="auto"/>
          <w:lang w:val="zh-CN" w:eastAsia="zh-CN" w:bidi="ar-SA"/>
        </w:rPr>
        <w:t>年</w:t>
      </w:r>
      <w:r>
        <w:rPr>
          <w:rFonts w:hint="eastAsia" w:cs="Times New Roman"/>
          <w:b w:val="0"/>
          <w:bCs/>
          <w:caps w:val="0"/>
          <w:color w:val="000000"/>
          <w:sz w:val="24"/>
          <w:szCs w:val="30"/>
          <w:highlight w:val="none"/>
          <w:u w:color="auto"/>
          <w:lang w:val="en-US" w:eastAsia="zh-CN" w:bidi="ar-SA"/>
        </w:rPr>
        <w:t>8</w:t>
      </w:r>
      <w:r>
        <w:rPr>
          <w:rFonts w:hint="default" w:ascii="Times New Roman" w:hAnsi="Times New Roman" w:eastAsia="宋体" w:cs="Times New Roman"/>
          <w:b w:val="0"/>
          <w:bCs/>
          <w:caps w:val="0"/>
          <w:color w:val="000000"/>
          <w:sz w:val="24"/>
          <w:szCs w:val="30"/>
          <w:highlight w:val="none"/>
          <w:u w:color="auto"/>
          <w:lang w:val="en-US" w:eastAsia="zh-CN" w:bidi="ar-SA"/>
        </w:rPr>
        <w:t>月</w:t>
      </w:r>
      <w:r>
        <w:rPr>
          <w:rFonts w:hint="eastAsia" w:cs="Times New Roman"/>
          <w:b w:val="0"/>
          <w:bCs/>
          <w:caps w:val="0"/>
          <w:color w:val="000000"/>
          <w:sz w:val="24"/>
          <w:szCs w:val="30"/>
          <w:highlight w:val="none"/>
          <w:u w:color="auto"/>
          <w:lang w:val="en-US" w:eastAsia="zh-CN" w:bidi="ar-SA"/>
        </w:rPr>
        <w:t>31</w:t>
      </w:r>
      <w:r>
        <w:rPr>
          <w:rFonts w:hint="default" w:ascii="Times New Roman" w:hAnsi="Times New Roman" w:eastAsia="宋体" w:cs="Times New Roman"/>
          <w:b w:val="0"/>
          <w:bCs/>
          <w:caps w:val="0"/>
          <w:color w:val="000000"/>
          <w:sz w:val="24"/>
          <w:szCs w:val="30"/>
          <w:highlight w:val="none"/>
          <w:u w:color="auto"/>
          <w:lang w:val="en-US" w:eastAsia="zh-CN" w:bidi="ar-SA"/>
        </w:rPr>
        <w:t>日</w:t>
      </w:r>
      <w:r>
        <w:rPr>
          <w:rFonts w:hint="default" w:ascii="Times New Roman" w:hAnsi="Times New Roman" w:eastAsia="宋体" w:cs="Times New Roman"/>
          <w:b w:val="0"/>
          <w:bCs/>
          <w:caps w:val="0"/>
          <w:color w:val="000000"/>
          <w:sz w:val="24"/>
          <w:szCs w:val="30"/>
          <w:highlight w:val="none"/>
          <w:u w:color="auto"/>
          <w:lang w:val="zh-CN" w:eastAsia="zh-CN" w:bidi="ar-SA"/>
        </w:rPr>
        <w:t>，使用数据主要涉及毕业生的规模和结构、毕业去向落实率、毕业去向等。</w:t>
      </w:r>
    </w:p>
    <w:p>
      <w:pPr>
        <w:pStyle w:val="17"/>
        <w:keepNext w:val="0"/>
        <w:keepLines w:val="0"/>
        <w:pageBreakBefore w:val="0"/>
        <w:widowControl/>
        <w:kinsoku/>
        <w:wordWrap/>
        <w:overflowPunct/>
        <w:topLinePunct w:val="0"/>
        <w:autoSpaceDE/>
        <w:autoSpaceDN/>
        <w:bidi w:val="0"/>
        <w:adjustRightInd/>
        <w:snapToGrid/>
        <w:ind w:left="1680" w:leftChars="800" w:firstLine="0" w:firstLineChars="0"/>
        <w:textAlignment w:val="auto"/>
        <w:rPr>
          <w:rFonts w:hint="default" w:ascii="Times New Roman" w:hAnsi="Times New Roman" w:eastAsia="宋体" w:cs="Times New Roman"/>
          <w:b/>
          <w:bCs/>
          <w:caps w:val="0"/>
          <w:color w:val="0070C0"/>
          <w:highlight w:val="none"/>
          <w:lang w:val="zh-CN" w:eastAsia="zh-CN"/>
        </w:rPr>
      </w:pPr>
      <w:r>
        <w:rPr>
          <w:rFonts w:hint="default" w:ascii="Times New Roman" w:hAnsi="Times New Roman" w:eastAsia="宋体" w:cs="Times New Roman"/>
          <w:b/>
          <w:bCs/>
          <w:caps w:val="0"/>
          <w:color w:val="0070C0"/>
          <w:highlight w:val="none"/>
          <w:lang w:val="en-US" w:eastAsia="zh-CN"/>
        </w:rPr>
        <w:t>第三方机构</w:t>
      </w:r>
      <w:r>
        <w:rPr>
          <w:rFonts w:hint="default" w:ascii="Times New Roman" w:hAnsi="Times New Roman" w:eastAsia="宋体" w:cs="Times New Roman"/>
          <w:b/>
          <w:bCs/>
          <w:caps w:val="0"/>
          <w:color w:val="0070C0"/>
          <w:highlight w:val="none"/>
          <w:lang w:val="zh-CN" w:eastAsia="zh-CN"/>
        </w:rPr>
        <w:t>调研</w:t>
      </w:r>
    </w:p>
    <w:p>
      <w:pPr>
        <w:keepNext w:val="0"/>
        <w:keepLines w:val="0"/>
        <w:pageBreakBefore w:val="0"/>
        <w:widowControl w:val="0"/>
        <w:kinsoku/>
        <w:wordWrap/>
        <w:overflowPunct/>
        <w:topLinePunct w:val="0"/>
        <w:autoSpaceDE/>
        <w:autoSpaceDN/>
        <w:bidi w:val="0"/>
        <w:adjustRightInd/>
        <w:snapToGrid/>
        <w:spacing w:line="360" w:lineRule="auto"/>
        <w:ind w:left="1676" w:leftChars="798" w:firstLine="0" w:firstLineChars="0"/>
        <w:textAlignment w:val="auto"/>
        <w:rPr>
          <w:rFonts w:hint="default" w:ascii="Times New Roman" w:hAnsi="Times New Roman" w:eastAsia="宋体" w:cs="Times New Roman"/>
          <w:b w:val="0"/>
          <w:bCs/>
          <w:caps w:val="0"/>
          <w:color w:val="000000"/>
          <w:sz w:val="24"/>
          <w:szCs w:val="30"/>
          <w:highlight w:val="none"/>
          <w:u w:color="auto"/>
          <w:lang w:val="zh-CN" w:eastAsia="zh-CN" w:bidi="ar-SA"/>
        </w:rPr>
      </w:pPr>
      <w:r>
        <w:rPr>
          <w:rFonts w:hint="default" w:ascii="Times New Roman" w:hAnsi="Times New Roman" w:eastAsia="宋体" w:cs="Times New Roman"/>
          <w:b w:val="0"/>
          <w:bCs/>
          <w:caps w:val="0"/>
          <w:color w:val="000000"/>
          <w:sz w:val="24"/>
          <w:szCs w:val="30"/>
          <w:highlight w:val="none"/>
          <w:u w:color="auto"/>
          <w:lang w:val="zh-CN" w:eastAsia="zh-CN" w:bidi="ar-SA"/>
        </w:rPr>
        <w:drawing>
          <wp:anchor distT="0" distB="0" distL="114300" distR="114300" simplePos="0" relativeHeight="251664384" behindDoc="0" locked="0" layoutInCell="1" allowOverlap="1">
            <wp:simplePos x="0" y="0"/>
            <wp:positionH relativeFrom="column">
              <wp:posOffset>174625</wp:posOffset>
            </wp:positionH>
            <wp:positionV relativeFrom="margin">
              <wp:posOffset>3893185</wp:posOffset>
            </wp:positionV>
            <wp:extent cx="720090" cy="720090"/>
            <wp:effectExtent l="0" t="0" r="3810" b="3810"/>
            <wp:wrapNone/>
            <wp:docPr id="137" name="图片 137" descr="32313539373930343b32313539373930333b95ee537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1367936065&quot;}"/>
                  </s:tag>
                </a:ext>
              </a:extLst>
            </wp:cNvGraphicFramePr>
            <a:graphic xmlns:a="http://schemas.openxmlformats.org/drawingml/2006/main">
              <a:graphicData uri="http://schemas.openxmlformats.org/drawingml/2006/picture">
                <pic:pic xmlns:pic="http://schemas.openxmlformats.org/drawingml/2006/picture">
                  <pic:nvPicPr>
                    <pic:cNvPr id="137" name="图片 137" descr="32313539373930343b32313539373930333b95ee5377"/>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720090" cy="720090"/>
                    </a:xfrm>
                    <a:prstGeom prst="rect">
                      <a:avLst/>
                    </a:prstGeom>
                  </pic:spPr>
                </pic:pic>
              </a:graphicData>
            </a:graphic>
          </wp:anchor>
        </w:drawing>
      </w:r>
      <w:r>
        <w:rPr>
          <w:rFonts w:hint="default" w:ascii="Times New Roman" w:hAnsi="Times New Roman" w:eastAsia="宋体" w:cs="Times New Roman"/>
          <w:b w:val="0"/>
          <w:bCs/>
          <w:caps w:val="0"/>
          <w:color w:val="000000"/>
          <w:sz w:val="24"/>
          <w:szCs w:val="30"/>
          <w:highlight w:val="none"/>
          <w:u w:color="auto"/>
          <w:lang w:val="en-US" w:eastAsia="zh-CN" w:bidi="ar-SA"/>
        </w:rPr>
        <w:t>毕业生调研数据：</w:t>
      </w:r>
      <w:r>
        <w:rPr>
          <w:rFonts w:hint="default" w:ascii="Times New Roman" w:hAnsi="Times New Roman" w:eastAsia="宋体" w:cs="Times New Roman"/>
          <w:b w:val="0"/>
          <w:bCs/>
          <w:caps w:val="0"/>
          <w:color w:val="000000"/>
          <w:sz w:val="24"/>
          <w:szCs w:val="30"/>
          <w:highlight w:val="none"/>
          <w:u w:color="auto"/>
          <w:lang w:val="zh-CN" w:eastAsia="zh-CN" w:bidi="ar-SA"/>
        </w:rPr>
        <w:t>有效问卷回收率为</w:t>
      </w:r>
      <w:r>
        <w:rPr>
          <w:rFonts w:hint="default" w:ascii="Times New Roman" w:hAnsi="Times New Roman" w:eastAsia="宋体" w:cs="Times New Roman"/>
          <w:b w:val="0"/>
          <w:bCs/>
          <w:caps w:val="0"/>
          <w:color w:val="000000"/>
          <w:sz w:val="24"/>
          <w:szCs w:val="30"/>
          <w:highlight w:val="none"/>
          <w:u w:color="auto"/>
          <w:lang w:val="en-US" w:eastAsia="zh-CN" w:bidi="ar-SA"/>
        </w:rPr>
        <w:t>66.</w:t>
      </w:r>
      <w:r>
        <w:rPr>
          <w:rFonts w:hint="default" w:ascii="Times New Roman" w:hAnsi="Times New Roman" w:cs="Times New Roman"/>
          <w:b w:val="0"/>
          <w:bCs/>
          <w:caps w:val="0"/>
          <w:color w:val="000000"/>
          <w:sz w:val="24"/>
          <w:szCs w:val="30"/>
          <w:highlight w:val="none"/>
          <w:u w:color="auto"/>
          <w:lang w:val="en-US" w:eastAsia="zh-CN" w:bidi="ar-SA"/>
        </w:rPr>
        <w:t>9</w:t>
      </w:r>
      <w:r>
        <w:rPr>
          <w:rFonts w:hint="eastAsia" w:cs="Times New Roman"/>
          <w:b w:val="0"/>
          <w:bCs/>
          <w:caps w:val="0"/>
          <w:color w:val="000000"/>
          <w:sz w:val="24"/>
          <w:szCs w:val="30"/>
          <w:highlight w:val="none"/>
          <w:u w:color="auto"/>
          <w:lang w:val="en-US" w:eastAsia="zh-CN" w:bidi="ar-SA"/>
        </w:rPr>
        <w:t>7</w:t>
      </w:r>
      <w:r>
        <w:rPr>
          <w:rFonts w:hint="default" w:ascii="Times New Roman" w:hAnsi="Times New Roman" w:eastAsia="宋体" w:cs="Times New Roman"/>
          <w:b w:val="0"/>
          <w:bCs/>
          <w:caps w:val="0"/>
          <w:color w:val="000000"/>
          <w:sz w:val="24"/>
          <w:szCs w:val="30"/>
          <w:highlight w:val="none"/>
          <w:u w:color="auto"/>
          <w:lang w:val="zh-CN" w:eastAsia="zh-CN" w:bidi="ar-SA"/>
        </w:rPr>
        <w:t>%，使用数据涉及就业流向等相关分析及对教育教学的反馈部分。</w:t>
      </w:r>
    </w:p>
    <w:p>
      <w:pPr>
        <w:keepNext w:val="0"/>
        <w:keepLines w:val="0"/>
        <w:pageBreakBefore w:val="0"/>
        <w:widowControl w:val="0"/>
        <w:kinsoku/>
        <w:wordWrap/>
        <w:overflowPunct/>
        <w:topLinePunct w:val="0"/>
        <w:autoSpaceDE/>
        <w:autoSpaceDN/>
        <w:bidi w:val="0"/>
        <w:adjustRightInd/>
        <w:snapToGrid/>
        <w:spacing w:line="360" w:lineRule="auto"/>
        <w:ind w:left="1676" w:leftChars="798" w:firstLine="0" w:firstLineChars="0"/>
        <w:textAlignment w:val="auto"/>
        <w:rPr>
          <w:rFonts w:hint="default" w:ascii="Times New Roman" w:hAnsi="Times New Roman" w:eastAsia="宋体" w:cs="Times New Roman"/>
          <w:b w:val="0"/>
          <w:bCs/>
          <w:caps w:val="0"/>
          <w:color w:val="000000"/>
          <w:sz w:val="24"/>
          <w:szCs w:val="30"/>
          <w:highlight w:val="none"/>
          <w:u w:color="auto"/>
          <w:lang w:val="zh-CN" w:eastAsia="zh-CN" w:bidi="ar-SA"/>
        </w:rPr>
      </w:pPr>
      <w:r>
        <w:rPr>
          <w:rFonts w:hint="default" w:ascii="Times New Roman" w:hAnsi="Times New Roman" w:eastAsia="宋体" w:cs="Times New Roman"/>
          <w:b w:val="0"/>
          <w:bCs/>
          <w:caps w:val="0"/>
          <w:color w:val="000000"/>
          <w:sz w:val="24"/>
          <w:szCs w:val="30"/>
          <w:highlight w:val="none"/>
          <w:u w:color="auto"/>
          <w:lang w:val="zh-CN" w:eastAsia="zh-CN" w:bidi="ar-SA"/>
        </w:rPr>
        <w:t>用人单位调研数据：</w:t>
      </w:r>
      <w:r>
        <w:rPr>
          <w:rFonts w:hint="default" w:ascii="Times New Roman" w:hAnsi="Times New Roman" w:eastAsia="宋体" w:cs="Times New Roman"/>
          <w:b w:val="0"/>
          <w:bCs/>
          <w:caps w:val="0"/>
          <w:color w:val="000000"/>
          <w:sz w:val="24"/>
          <w:szCs w:val="30"/>
          <w:highlight w:val="none"/>
          <w:u w:color="auto"/>
          <w:lang w:val="en-US" w:eastAsia="zh-CN" w:bidi="ar-SA"/>
        </w:rPr>
        <w:t>回收有效问卷</w:t>
      </w:r>
      <w:r>
        <w:rPr>
          <w:rFonts w:hint="eastAsia" w:cs="Times New Roman"/>
          <w:b w:val="0"/>
          <w:bCs/>
          <w:caps w:val="0"/>
          <w:color w:val="000000"/>
          <w:sz w:val="24"/>
          <w:szCs w:val="30"/>
          <w:highlight w:val="none"/>
          <w:u w:color="auto"/>
          <w:lang w:val="en-US" w:eastAsia="zh-CN" w:bidi="ar-SA"/>
        </w:rPr>
        <w:t>153</w:t>
      </w:r>
      <w:r>
        <w:rPr>
          <w:rFonts w:hint="default" w:ascii="Times New Roman" w:hAnsi="Times New Roman" w:eastAsia="宋体" w:cs="Times New Roman"/>
          <w:b w:val="0"/>
          <w:bCs/>
          <w:caps w:val="0"/>
          <w:color w:val="000000"/>
          <w:sz w:val="24"/>
          <w:szCs w:val="30"/>
          <w:highlight w:val="none"/>
          <w:u w:color="auto"/>
          <w:lang w:val="en-US" w:eastAsia="zh-CN" w:bidi="ar-SA"/>
        </w:rPr>
        <w:t>份，</w:t>
      </w:r>
      <w:r>
        <w:rPr>
          <w:rFonts w:hint="default" w:ascii="Times New Roman" w:hAnsi="Times New Roman" w:eastAsia="宋体" w:cs="Times New Roman"/>
          <w:b w:val="0"/>
          <w:bCs/>
          <w:caps w:val="0"/>
          <w:color w:val="000000"/>
          <w:sz w:val="24"/>
          <w:szCs w:val="30"/>
          <w:highlight w:val="none"/>
          <w:u w:color="auto"/>
          <w:lang w:val="zh-CN" w:eastAsia="zh-CN" w:bidi="ar-SA"/>
        </w:rPr>
        <w:t>涉及用人单位对毕业生满意度及能力评价、用人单位对学校就业创业服务工作评价等部分。</w:t>
      </w:r>
    </w:p>
    <w:p>
      <w:pPr>
        <w:pStyle w:val="2"/>
        <w:rPr>
          <w:rFonts w:hint="default" w:ascii="Times New Roman" w:hAnsi="Times New Roman" w:cs="Times New Roman"/>
        </w:rPr>
        <w:sectPr>
          <w:footerReference r:id="rId15" w:type="first"/>
          <w:footerReference r:id="rId13" w:type="default"/>
          <w:footerReference r:id="rId14" w:type="even"/>
          <w:pgSz w:w="11906" w:h="16838"/>
          <w:pgMar w:top="1440" w:right="1800" w:bottom="1440" w:left="1800" w:header="850" w:footer="992" w:gutter="0"/>
          <w:pgBorders>
            <w:top w:val="none" w:sz="0" w:space="0"/>
            <w:left w:val="none" w:sz="0" w:space="0"/>
            <w:bottom w:val="none" w:sz="0" w:space="0"/>
            <w:right w:val="none" w:sz="0" w:space="0"/>
          </w:pgBorders>
          <w:pgNumType w:fmt="decimal" w:start="1"/>
          <w:cols w:space="360" w:num="1"/>
          <w:titlePg/>
          <w:docGrid w:linePitch="312" w:charSpace="0"/>
        </w:sectPr>
      </w:pPr>
    </w:p>
    <w:p>
      <w:pPr>
        <w:pageBreakBefore/>
        <w:numPr>
          <w:ilvl w:val="0"/>
          <w:numId w:val="1"/>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hint="default" w:ascii="Times New Roman" w:hAnsi="Times New Roman" w:cs="Times New Roman"/>
        </w:rPr>
      </w:pPr>
      <w:bookmarkStart w:id="3" w:name="_Toc5247"/>
      <w:r>
        <w:rPr>
          <w:rFonts w:hint="default" w:ascii="Times New Roman" w:hAnsi="Times New Roman" w:eastAsia="黑体" w:cs="Times New Roman"/>
          <w:b/>
          <w:color w:val="FFFFFF"/>
          <w:sz w:val="36"/>
          <w:u w:color="auto"/>
        </w:rPr>
        <w:t>PART 01  总体结论</w:t>
      </w:r>
      <w:bookmarkEnd w:id="3"/>
    </w:p>
    <w:p>
      <w:pPr>
        <w:rPr>
          <w:rFonts w:hint="default" w:ascii="Times New Roman" w:hAnsi="Times New Roman" w:cs="Times New Roman"/>
        </w:rPr>
      </w:pPr>
      <w:r>
        <w:rPr>
          <w:rFonts w:hint="default" w:ascii="Times New Roman" w:hAnsi="Times New Roman" w:cs="Times New Roman"/>
        </w:rPr>
        <w:t>
</w:t>
      </w:r>
    </w:p>
    <w:p>
      <w:pPr>
        <w:numPr>
          <w:ilvl w:val="1"/>
          <w:numId w:val="2"/>
        </w:numPr>
        <w:shd w:val="clear" w:color="auto" w:fill="FFFFFF"/>
        <w:spacing w:before="15" w:after="15" w:line="360" w:lineRule="auto"/>
        <w:jc w:val="left"/>
        <w:outlineLvl w:val="1"/>
        <w:rPr>
          <w:rFonts w:hint="default" w:ascii="Times New Roman" w:hAnsi="Times New Roman" w:cs="Times New Roman"/>
        </w:rPr>
      </w:pPr>
      <w:bookmarkStart w:id="4" w:name="_Toc11281"/>
      <w:r>
        <w:rPr>
          <w:rFonts w:hint="default" w:ascii="Times New Roman" w:hAnsi="Times New Roman" w:eastAsia="黑体" w:cs="Times New Roman"/>
          <w:b/>
          <w:color w:val="0F6FC6"/>
          <w:sz w:val="30"/>
          <w:u w:color="auto"/>
        </w:rPr>
        <w:t>一、毕业去向落实率和毕业去向分布</w:t>
      </w:r>
      <w:bookmarkEnd w:id="4"/>
    </w:p>
    <w:p>
      <w:pPr>
        <w:numPr>
          <w:ilvl w:val="1"/>
          <w:numId w:val="3"/>
        </w:numPr>
        <w:shd w:val="clear" w:color="auto" w:fill="FFFFFF"/>
        <w:spacing w:before="15" w:after="15" w:line="360" w:lineRule="auto"/>
        <w:jc w:val="left"/>
        <w:outlineLvl w:val="9"/>
      </w:pPr>
      <w:r>
        <w:rPr>
          <w:rFonts w:hint="default" w:ascii="Times New Roman" w:hAnsi="Times New Roman" w:eastAsia="宋体" w:cs="Times New Roman"/>
          <w:b w:val="0"/>
          <w:bCs/>
          <w:caps w:val="0"/>
          <w:color w:val="000000"/>
          <w:sz w:val="24"/>
          <w:szCs w:val="30"/>
          <w:highlight w:val="none"/>
          <w:u w:color="auto"/>
          <w:lang w:val="en-US" w:eastAsia="zh-CN" w:bidi="ar-SA"/>
        </w:rPr>
        <w:t>截止到2023年</w:t>
      </w:r>
      <w:r>
        <w:rPr>
          <w:rFonts w:hint="eastAsia" w:cs="Times New Roman"/>
          <w:b w:val="0"/>
          <w:bCs/>
          <w:caps w:val="0"/>
          <w:color w:val="000000"/>
          <w:sz w:val="24"/>
          <w:szCs w:val="30"/>
          <w:highlight w:val="none"/>
          <w:u w:color="auto"/>
          <w:lang w:val="en-US" w:eastAsia="zh-CN" w:bidi="ar-SA"/>
        </w:rPr>
        <w:t>8</w:t>
      </w:r>
      <w:r>
        <w:rPr>
          <w:rFonts w:hint="default" w:ascii="Times New Roman" w:hAnsi="Times New Roman" w:eastAsia="宋体" w:cs="Times New Roman"/>
          <w:b w:val="0"/>
          <w:bCs/>
          <w:caps w:val="0"/>
          <w:color w:val="000000"/>
          <w:sz w:val="24"/>
          <w:szCs w:val="30"/>
          <w:highlight w:val="none"/>
          <w:u w:color="auto"/>
          <w:lang w:val="en-US" w:eastAsia="zh-CN" w:bidi="ar-SA"/>
        </w:rPr>
        <w:t>月</w:t>
      </w:r>
      <w:r>
        <w:rPr>
          <w:rFonts w:hint="eastAsia" w:cs="Times New Roman"/>
          <w:b w:val="0"/>
          <w:bCs/>
          <w:caps w:val="0"/>
          <w:color w:val="000000"/>
          <w:sz w:val="24"/>
          <w:szCs w:val="30"/>
          <w:highlight w:val="none"/>
          <w:u w:color="auto"/>
          <w:lang w:val="en-US" w:eastAsia="zh-CN" w:bidi="ar-SA"/>
        </w:rPr>
        <w:t>31</w:t>
      </w:r>
      <w:r>
        <w:rPr>
          <w:rFonts w:hint="default" w:ascii="Times New Roman" w:hAnsi="Times New Roman" w:eastAsia="宋体" w:cs="Times New Roman"/>
          <w:b w:val="0"/>
          <w:bCs/>
          <w:caps w:val="0"/>
          <w:color w:val="000000"/>
          <w:sz w:val="24"/>
          <w:szCs w:val="30"/>
          <w:highlight w:val="none"/>
          <w:u w:color="auto"/>
          <w:lang w:val="en-US" w:eastAsia="zh-CN" w:bidi="ar-SA"/>
        </w:rPr>
        <w:t>日，</w:t>
      </w:r>
      <w:r>
        <w:rPr>
          <w:rFonts w:hint="default" w:ascii="Times New Roman" w:hAnsi="Times New Roman" w:eastAsia="宋体" w:cs="Times New Roman"/>
          <w:b w:val="0"/>
          <w:bCs/>
          <w:caps w:val="0"/>
          <w:color w:val="000000"/>
          <w:sz w:val="24"/>
          <w:szCs w:val="30"/>
          <w:highlight w:val="none"/>
          <w:u w:color="auto"/>
          <w:lang w:val="zh-CN" w:eastAsia="zh-CN" w:bidi="ar-SA"/>
        </w:rPr>
        <w:t>学校2023届毕业生毕业去向落实率为</w:t>
      </w:r>
      <w:r>
        <w:rPr>
          <w:rFonts w:hint="default" w:ascii="Times New Roman" w:hAnsi="Times New Roman" w:eastAsia="宋体" w:cs="Times New Roman"/>
          <w:b w:val="0"/>
          <w:color w:val="000000"/>
          <w:sz w:val="24"/>
          <w:u w:color="auto"/>
          <w:lang w:val="en-US" w:eastAsia="zh-CN"/>
        </w:rPr>
        <w:t>8</w:t>
      </w:r>
      <w:r>
        <w:rPr>
          <w:rFonts w:hint="eastAsia" w:cs="Times New Roman"/>
          <w:b w:val="0"/>
          <w:color w:val="000000"/>
          <w:sz w:val="24"/>
          <w:u w:color="auto"/>
          <w:lang w:val="en-US" w:eastAsia="zh-CN"/>
        </w:rPr>
        <w:t>4.31</w:t>
      </w:r>
      <w:r>
        <w:rPr>
          <w:rFonts w:hint="default" w:ascii="Times New Roman" w:hAnsi="Times New Roman" w:eastAsia="宋体" w:cs="Times New Roman"/>
          <w:b w:val="0"/>
          <w:color w:val="000000"/>
          <w:sz w:val="24"/>
          <w:u w:color="auto"/>
        </w:rPr>
        <w:t>%</w:t>
      </w:r>
      <w:r>
        <w:rPr>
          <w:rFonts w:hint="default" w:ascii="Times New Roman" w:hAnsi="Times New Roman" w:eastAsia="宋体" w:cs="Times New Roman"/>
          <w:b w:val="0"/>
          <w:bCs/>
          <w:caps w:val="0"/>
          <w:color w:val="000000"/>
          <w:sz w:val="24"/>
          <w:szCs w:val="30"/>
          <w:highlight w:val="none"/>
          <w:u w:color="auto"/>
          <w:lang w:val="en-US" w:eastAsia="zh-CN" w:bidi="ar-SA"/>
        </w:rPr>
        <w:t>，</w:t>
      </w:r>
      <w:r>
        <w:rPr>
          <w:rFonts w:hint="default" w:ascii="Times New Roman" w:hAnsi="Times New Roman" w:eastAsia="宋体" w:cs="Times New Roman"/>
          <w:b w:val="0"/>
          <w:bCs/>
          <w:caps w:val="0"/>
          <w:color w:val="000000"/>
          <w:sz w:val="24"/>
          <w:szCs w:val="30"/>
          <w:highlight w:val="none"/>
          <w:u w:color="auto"/>
          <w:lang w:val="zh-CN" w:eastAsia="zh-CN" w:bidi="ar-SA"/>
        </w:rPr>
        <w:t>毕业去向分布详见下图。</w:t>
      </w:r>
    </w:p>
    <w:p>
      <w:pPr>
        <w:numPr>
          <w:ilvl w:val="1"/>
          <w:numId w:val="3"/>
        </w:numPr>
        <w:shd w:val="clear" w:color="auto" w:fill="FFFFFF"/>
        <w:spacing w:before="15" w:after="15" w:line="360" w:lineRule="auto"/>
        <w:jc w:val="center"/>
        <w:outlineLvl w:val="9"/>
      </w:pPr>
      <w:r>
        <w:drawing>
          <wp:inline distT="0" distB="0" distL="114300" distR="114300">
            <wp:extent cx="5211445" cy="3791585"/>
            <wp:effectExtent l="0" t="0" r="0" b="0"/>
            <wp:docPr id="117" name="图片 11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图片5"/>
                    <pic:cNvPicPr>
                      <a:picLocks noChangeAspect="1"/>
                    </pic:cNvPicPr>
                  </pic:nvPicPr>
                  <pic:blipFill>
                    <a:blip r:embed="rId24"/>
                    <a:stretch>
                      <a:fillRect/>
                    </a:stretch>
                  </pic:blipFill>
                  <pic:spPr>
                    <a:xfrm>
                      <a:off x="0" y="0"/>
                      <a:ext cx="5211445" cy="3791585"/>
                    </a:xfrm>
                    <a:prstGeom prst="rect">
                      <a:avLst/>
                    </a:prstGeom>
                  </pic:spPr>
                </pic:pic>
              </a:graphicData>
            </a:graphic>
          </wp:inline>
        </w:drawing>
      </w:r>
    </w:p>
    <w:p>
      <w:pPr>
        <w:numPr>
          <w:ilvl w:val="1"/>
          <w:numId w:val="3"/>
        </w:numPr>
        <w:shd w:val="clear" w:color="auto" w:fill="FFFFFF"/>
        <w:spacing w:before="15" w:after="15" w:line="360" w:lineRule="auto"/>
        <w:jc w:val="center"/>
        <w:outlineLvl w:val="9"/>
        <w:rPr>
          <w:rFonts w:hint="default" w:ascii="Times New Roman" w:hAnsi="Times New Roman" w:cs="Times New Roman"/>
        </w:rPr>
      </w:pPr>
      <w:r>
        <w:rPr>
          <w:rFonts w:hint="default" w:ascii="Times New Roman" w:hAnsi="Times New Roman" w:eastAsia="黑体" w:cs="Times New Roman"/>
          <w:b/>
          <w:color w:val="0F6FC6"/>
          <w:sz w:val="21"/>
          <w:u w:color="auto"/>
        </w:rPr>
        <w:t>图</w:t>
      </w:r>
      <w:r>
        <w:rPr>
          <w:rFonts w:hint="default" w:ascii="Times New Roman" w:hAnsi="Times New Roman" w:eastAsia="黑体" w:cs="Times New Roman"/>
          <w:b/>
          <w:color w:val="0F6FC6"/>
          <w:sz w:val="21"/>
          <w:u w:color="auto"/>
          <w:lang w:val="en-US" w:eastAsia="zh-CN"/>
        </w:rPr>
        <w:t>1</w:t>
      </w:r>
      <w:r>
        <w:rPr>
          <w:rFonts w:hint="default" w:ascii="Times New Roman" w:hAnsi="Times New Roman" w:eastAsia="黑体" w:cs="Times New Roman"/>
          <w:b/>
          <w:color w:val="0F6FC6"/>
          <w:sz w:val="21"/>
          <w:u w:color="auto"/>
        </w:rPr>
        <w:t xml:space="preserve">-1  </w:t>
      </w:r>
      <w:r>
        <w:rPr>
          <w:rFonts w:hint="default" w:ascii="Times New Roman" w:hAnsi="Times New Roman" w:eastAsia="黑体" w:cs="Times New Roman"/>
          <w:b/>
          <w:color w:val="0F6FC6"/>
          <w:sz w:val="21"/>
          <w:u w:color="auto"/>
          <w:lang w:val="en-US" w:eastAsia="zh-CN"/>
        </w:rPr>
        <w:t>2023届毕业生毕业去向落实率及毕业去向分布</w:t>
      </w:r>
    </w:p>
    <w:p>
      <w:pPr>
        <w:numPr>
          <w:ilvl w:val="1"/>
          <w:numId w:val="4"/>
        </w:numPr>
        <w:shd w:val="clear" w:color="auto" w:fill="FFFFFF"/>
        <w:spacing w:before="15" w:after="15" w:line="360" w:lineRule="auto"/>
        <w:jc w:val="left"/>
        <w:outlineLvl w:val="1"/>
        <w:rPr>
          <w:rFonts w:hint="default" w:ascii="Times New Roman" w:hAnsi="Times New Roman" w:cs="Times New Roman"/>
        </w:rPr>
      </w:pPr>
      <w:bookmarkStart w:id="5" w:name="_Toc4920"/>
      <w:r>
        <w:rPr>
          <w:rFonts w:hint="default" w:ascii="Times New Roman" w:hAnsi="Times New Roman" w:eastAsia="黑体" w:cs="Times New Roman"/>
          <w:b/>
          <w:color w:val="0F6FC6"/>
          <w:sz w:val="30"/>
          <w:u w:color="auto"/>
        </w:rPr>
        <w:t>二、就业特色分析</w:t>
      </w:r>
      <w:bookmarkEnd w:id="5"/>
    </w:p>
    <w:p>
      <w:pPr>
        <w:keepNext w:val="0"/>
        <w:keepLines w:val="0"/>
        <w:pageBreakBefore w:val="0"/>
        <w:widowControl w:val="0"/>
        <w:numPr>
          <w:ilvl w:val="1"/>
          <w:numId w:val="5"/>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caps w:val="0"/>
          <w:color w:val="000000"/>
          <w:sz w:val="24"/>
          <w:szCs w:val="30"/>
          <w:highlight w:val="none"/>
          <w:u w:color="auto"/>
          <w:lang w:val="zh-CN" w:eastAsia="zh-CN" w:bidi="ar-SA"/>
        </w:rPr>
      </w:pPr>
      <w:r>
        <w:rPr>
          <w:rFonts w:hint="default" w:ascii="Times New Roman" w:hAnsi="Times New Roman" w:cs="Times New Roman"/>
          <w:b w:val="0"/>
          <w:bCs/>
          <w:caps w:val="0"/>
          <w:color w:val="000000"/>
          <w:sz w:val="24"/>
          <w:szCs w:val="30"/>
          <w:highlight w:val="none"/>
          <w:u w:color="auto"/>
          <w:lang w:val="zh-CN" w:eastAsia="zh-CN" w:bidi="ar-SA"/>
        </w:rPr>
        <w:t>学校2023届</w:t>
      </w:r>
      <w:r>
        <w:rPr>
          <w:rFonts w:hint="default" w:ascii="Times New Roman" w:hAnsi="Times New Roman" w:eastAsia="宋体" w:cs="Times New Roman"/>
          <w:b w:val="0"/>
          <w:bCs/>
          <w:caps w:val="0"/>
          <w:color w:val="000000"/>
          <w:sz w:val="24"/>
          <w:szCs w:val="30"/>
          <w:highlight w:val="none"/>
          <w:u w:color="auto"/>
          <w:lang w:val="zh-CN" w:eastAsia="zh-CN" w:bidi="ar-SA"/>
        </w:rPr>
        <w:t>毕业生</w:t>
      </w:r>
      <w:r>
        <w:rPr>
          <w:rFonts w:hint="default" w:ascii="Times New Roman" w:hAnsi="Times New Roman" w:eastAsia="宋体" w:cs="Times New Roman"/>
          <w:b w:val="0"/>
          <w:bCs/>
          <w:caps w:val="0"/>
          <w:color w:val="000000"/>
          <w:sz w:val="24"/>
          <w:szCs w:val="30"/>
          <w:highlight w:val="none"/>
          <w:u w:color="auto"/>
          <w:lang w:val="en-US" w:eastAsia="zh-CN" w:bidi="ar-SA"/>
        </w:rPr>
        <w:t>就业地区主要集中在</w:t>
      </w:r>
      <w:r>
        <w:rPr>
          <w:rFonts w:hint="eastAsia" w:eastAsia="宋体" w:cs="Times New Roman"/>
          <w:b w:val="0"/>
          <w:bCs/>
          <w:caps w:val="0"/>
          <w:color w:val="000000"/>
          <w:sz w:val="24"/>
          <w:szCs w:val="30"/>
          <w:highlight w:val="none"/>
          <w:u w:color="auto"/>
          <w:lang w:val="en-US" w:eastAsia="zh-CN" w:bidi="ar-SA"/>
        </w:rPr>
        <w:t>“</w:t>
      </w:r>
      <w:r>
        <w:rPr>
          <w:rFonts w:hint="default" w:ascii="Times New Roman" w:hAnsi="Times New Roman" w:eastAsia="宋体" w:cs="Times New Roman"/>
          <w:b w:val="0"/>
          <w:bCs/>
          <w:caps w:val="0"/>
          <w:color w:val="000000"/>
          <w:sz w:val="24"/>
          <w:szCs w:val="30"/>
          <w:highlight w:val="none"/>
          <w:u w:color="auto"/>
          <w:lang w:val="en-US" w:eastAsia="zh-CN" w:bidi="ar-SA"/>
        </w:rPr>
        <w:t>山西省</w:t>
      </w:r>
      <w:r>
        <w:rPr>
          <w:rFonts w:hint="eastAsia" w:eastAsia="宋体" w:cs="Times New Roman"/>
          <w:b w:val="0"/>
          <w:bCs/>
          <w:caps w:val="0"/>
          <w:color w:val="000000"/>
          <w:sz w:val="24"/>
          <w:szCs w:val="30"/>
          <w:highlight w:val="none"/>
          <w:u w:color="auto"/>
          <w:lang w:val="en-US" w:eastAsia="zh-CN" w:bidi="ar-SA"/>
        </w:rPr>
        <w:t>”</w:t>
      </w:r>
      <w:r>
        <w:rPr>
          <w:rFonts w:hint="default" w:ascii="Times New Roman" w:hAnsi="Times New Roman" w:eastAsia="宋体" w:cs="Times New Roman"/>
          <w:b w:val="0"/>
          <w:bCs/>
          <w:caps w:val="0"/>
          <w:color w:val="000000"/>
          <w:sz w:val="24"/>
          <w:szCs w:val="30"/>
          <w:highlight w:val="none"/>
          <w:u w:color="auto"/>
          <w:lang w:val="zh-CN" w:eastAsia="zh-CN" w:bidi="ar-SA"/>
        </w:rPr>
        <w:t>，服务本地经济发展；就业行业以</w:t>
      </w:r>
      <w:r>
        <w:rPr>
          <w:rFonts w:hint="eastAsia" w:eastAsia="宋体" w:cs="Times New Roman"/>
          <w:b w:val="0"/>
          <w:bCs/>
          <w:caps w:val="0"/>
          <w:color w:val="000000"/>
          <w:sz w:val="24"/>
          <w:szCs w:val="30"/>
          <w:highlight w:val="none"/>
          <w:u w:color="auto"/>
          <w:lang w:val="zh-CN" w:eastAsia="zh-CN" w:bidi="ar-SA"/>
        </w:rPr>
        <w:t>“</w:t>
      </w:r>
      <w:r>
        <w:rPr>
          <w:rFonts w:hint="eastAsia" w:cs="宋体"/>
          <w:b w:val="0"/>
          <w:color w:val="000000"/>
          <w:sz w:val="24"/>
          <w:u w:color="auto"/>
          <w:lang w:val="en-US" w:eastAsia="zh-CN"/>
        </w:rPr>
        <w:t>教育</w:t>
      </w:r>
      <w:r>
        <w:rPr>
          <w:rFonts w:hint="eastAsia" w:eastAsia="宋体" w:cs="Times New Roman"/>
          <w:b w:val="0"/>
          <w:bCs/>
          <w:caps w:val="0"/>
          <w:color w:val="000000"/>
          <w:sz w:val="24"/>
          <w:szCs w:val="30"/>
          <w:highlight w:val="none"/>
          <w:u w:color="auto"/>
          <w:lang w:val="zh-CN" w:eastAsia="zh-CN" w:bidi="ar-SA"/>
        </w:rPr>
        <w:t>”</w:t>
      </w:r>
      <w:r>
        <w:rPr>
          <w:rFonts w:hint="default" w:ascii="Times New Roman" w:hAnsi="Times New Roman" w:eastAsia="宋体" w:cs="Times New Roman"/>
          <w:b w:val="0"/>
          <w:bCs/>
          <w:caps w:val="0"/>
          <w:color w:val="000000"/>
          <w:sz w:val="24"/>
          <w:szCs w:val="30"/>
          <w:highlight w:val="none"/>
          <w:u w:color="auto"/>
          <w:lang w:val="zh-CN" w:eastAsia="zh-CN" w:bidi="ar-SA"/>
        </w:rPr>
        <w:t>为主；就业职业</w:t>
      </w:r>
      <w:r>
        <w:rPr>
          <w:rFonts w:hint="default" w:ascii="Times New Roman" w:hAnsi="Times New Roman" w:eastAsia="宋体" w:cs="Times New Roman"/>
          <w:b w:val="0"/>
          <w:bCs/>
          <w:caps w:val="0"/>
          <w:color w:val="000000"/>
          <w:sz w:val="24"/>
          <w:szCs w:val="30"/>
          <w:highlight w:val="none"/>
          <w:u w:color="auto"/>
          <w:lang w:val="en-US" w:eastAsia="zh-CN" w:bidi="ar-SA"/>
        </w:rPr>
        <w:t>主要是</w:t>
      </w:r>
      <w:r>
        <w:rPr>
          <w:rFonts w:hint="eastAsia" w:eastAsia="宋体" w:cs="Times New Roman"/>
          <w:b w:val="0"/>
          <w:bCs/>
          <w:caps w:val="0"/>
          <w:color w:val="000000"/>
          <w:sz w:val="24"/>
          <w:szCs w:val="30"/>
          <w:highlight w:val="none"/>
          <w:u w:color="auto"/>
          <w:lang w:val="en-US" w:eastAsia="zh-CN" w:bidi="ar-SA"/>
        </w:rPr>
        <w:t>“</w:t>
      </w:r>
      <w:r>
        <w:rPr>
          <w:rFonts w:hint="default" w:ascii="Times New Roman" w:hAnsi="Times New Roman" w:eastAsia="宋体" w:cs="Times New Roman"/>
          <w:b w:val="0"/>
          <w:color w:val="000000"/>
          <w:sz w:val="24"/>
          <w:highlight w:val="none"/>
          <w:u w:color="auto"/>
        </w:rPr>
        <w:t>其他人员</w:t>
      </w:r>
      <w:r>
        <w:rPr>
          <w:rFonts w:hint="eastAsia" w:eastAsia="宋体" w:cs="Times New Roman"/>
          <w:b w:val="0"/>
          <w:bCs/>
          <w:caps w:val="0"/>
          <w:color w:val="000000"/>
          <w:sz w:val="24"/>
          <w:szCs w:val="30"/>
          <w:highlight w:val="none"/>
          <w:u w:color="auto"/>
          <w:lang w:val="en-US" w:eastAsia="zh-CN" w:bidi="ar-SA"/>
        </w:rPr>
        <w:t>”</w:t>
      </w:r>
      <w:r>
        <w:rPr>
          <w:rFonts w:hint="default" w:ascii="Times New Roman" w:hAnsi="Times New Roman" w:eastAsia="宋体" w:cs="Times New Roman"/>
          <w:b w:val="0"/>
          <w:bCs/>
          <w:caps w:val="0"/>
          <w:color w:val="000000"/>
          <w:sz w:val="24"/>
          <w:szCs w:val="30"/>
          <w:highlight w:val="none"/>
          <w:u w:color="auto"/>
          <w:lang w:val="en-US" w:eastAsia="zh-CN" w:bidi="ar-SA"/>
        </w:rPr>
        <w:t>；就业单位规模主要集中在</w:t>
      </w:r>
      <w:r>
        <w:rPr>
          <w:rFonts w:hint="eastAsia" w:eastAsia="宋体" w:cs="Times New Roman"/>
          <w:b w:val="0"/>
          <w:bCs/>
          <w:caps w:val="0"/>
          <w:color w:val="000000"/>
          <w:sz w:val="24"/>
          <w:szCs w:val="30"/>
          <w:highlight w:val="none"/>
          <w:u w:color="auto"/>
          <w:lang w:val="en-US" w:eastAsia="zh-CN" w:bidi="ar-SA"/>
        </w:rPr>
        <w:t>“</w:t>
      </w:r>
      <w:r>
        <w:rPr>
          <w:rFonts w:hint="default" w:ascii="Times New Roman" w:hAnsi="Times New Roman" w:eastAsia="宋体" w:cs="Times New Roman"/>
          <w:b w:val="0"/>
          <w:bCs/>
          <w:caps w:val="0"/>
          <w:color w:val="000000"/>
          <w:sz w:val="24"/>
          <w:szCs w:val="30"/>
          <w:highlight w:val="none"/>
          <w:u w:color="auto"/>
          <w:lang w:val="en-US" w:eastAsia="zh-CN" w:bidi="ar-SA"/>
        </w:rPr>
        <w:t>小微企业</w:t>
      </w:r>
      <w:r>
        <w:rPr>
          <w:rFonts w:hint="eastAsia" w:eastAsia="宋体" w:cs="Times New Roman"/>
          <w:b w:val="0"/>
          <w:bCs/>
          <w:caps w:val="0"/>
          <w:color w:val="000000"/>
          <w:sz w:val="24"/>
          <w:szCs w:val="30"/>
          <w:highlight w:val="none"/>
          <w:u w:color="auto"/>
          <w:lang w:val="en-US" w:eastAsia="zh-CN" w:bidi="ar-SA"/>
        </w:rPr>
        <w:t>”</w:t>
      </w:r>
      <w:r>
        <w:rPr>
          <w:rFonts w:hint="default" w:ascii="Times New Roman" w:hAnsi="Times New Roman" w:eastAsia="宋体" w:cs="Times New Roman"/>
          <w:b w:val="0"/>
          <w:bCs/>
          <w:caps w:val="0"/>
          <w:color w:val="000000"/>
          <w:sz w:val="24"/>
          <w:szCs w:val="30"/>
          <w:highlight w:val="none"/>
          <w:u w:color="auto"/>
          <w:lang w:val="en-US" w:eastAsia="zh-CN" w:bidi="ar-SA"/>
        </w:rPr>
        <w:t>；</w:t>
      </w:r>
      <w:r>
        <w:rPr>
          <w:rFonts w:hint="default" w:ascii="Times New Roman" w:hAnsi="Times New Roman" w:eastAsia="宋体" w:cs="Times New Roman"/>
          <w:b w:val="0"/>
          <w:bCs/>
          <w:caps w:val="0"/>
          <w:color w:val="000000"/>
          <w:sz w:val="24"/>
          <w:szCs w:val="30"/>
          <w:highlight w:val="none"/>
          <w:u w:color="auto"/>
          <w:lang w:val="zh-CN" w:eastAsia="zh-CN" w:bidi="ar-SA"/>
        </w:rPr>
        <w:t>就业单位</w:t>
      </w:r>
      <w:r>
        <w:rPr>
          <w:rFonts w:hint="default" w:ascii="Times New Roman" w:hAnsi="Times New Roman" w:eastAsia="宋体" w:cs="Times New Roman"/>
          <w:b w:val="0"/>
          <w:bCs/>
          <w:caps w:val="0"/>
          <w:color w:val="000000"/>
          <w:sz w:val="24"/>
          <w:szCs w:val="30"/>
          <w:highlight w:val="none"/>
          <w:u w:color="auto"/>
          <w:lang w:val="en-US" w:eastAsia="zh-CN" w:bidi="ar-SA"/>
        </w:rPr>
        <w:t>性质</w:t>
      </w:r>
      <w:r>
        <w:rPr>
          <w:rFonts w:hint="default" w:ascii="Times New Roman" w:hAnsi="Times New Roman" w:eastAsia="宋体" w:cs="Times New Roman"/>
          <w:b w:val="0"/>
          <w:bCs/>
          <w:caps w:val="0"/>
          <w:color w:val="000000"/>
          <w:sz w:val="24"/>
          <w:szCs w:val="30"/>
          <w:highlight w:val="none"/>
          <w:u w:color="auto"/>
          <w:lang w:val="zh-CN" w:eastAsia="zh-CN" w:bidi="ar-SA"/>
        </w:rPr>
        <w:t>以</w:t>
      </w:r>
      <w:r>
        <w:rPr>
          <w:rFonts w:hint="eastAsia" w:eastAsia="宋体" w:cs="Times New Roman"/>
          <w:b w:val="0"/>
          <w:bCs/>
          <w:caps w:val="0"/>
          <w:color w:val="000000"/>
          <w:sz w:val="24"/>
          <w:szCs w:val="30"/>
          <w:highlight w:val="none"/>
          <w:u w:color="auto"/>
          <w:lang w:val="zh-CN" w:eastAsia="zh-CN" w:bidi="ar-SA"/>
        </w:rPr>
        <w:t>“</w:t>
      </w:r>
      <w:r>
        <w:rPr>
          <w:rFonts w:hint="eastAsia" w:cs="Times New Roman"/>
          <w:b w:val="0"/>
          <w:bCs/>
          <w:caps w:val="0"/>
          <w:color w:val="000000"/>
          <w:sz w:val="24"/>
          <w:szCs w:val="30"/>
          <w:highlight w:val="none"/>
          <w:u w:color="auto"/>
          <w:lang w:val="en-US" w:eastAsia="zh-CN" w:bidi="ar-SA"/>
        </w:rPr>
        <w:t>其他企业</w:t>
      </w:r>
      <w:r>
        <w:rPr>
          <w:rStyle w:val="16"/>
          <w:rFonts w:hint="eastAsia" w:cs="Times New Roman"/>
          <w:b w:val="0"/>
          <w:bCs/>
          <w:caps w:val="0"/>
          <w:color w:val="000000"/>
          <w:sz w:val="24"/>
          <w:szCs w:val="30"/>
          <w:highlight w:val="none"/>
          <w:u w:color="auto"/>
          <w:lang w:val="en-US" w:eastAsia="zh-CN" w:bidi="ar-SA"/>
        </w:rPr>
        <w:footnoteReference w:id="0"/>
      </w:r>
      <w:r>
        <w:rPr>
          <w:rFonts w:hint="eastAsia" w:eastAsia="宋体" w:cs="Times New Roman"/>
          <w:b w:val="0"/>
          <w:bCs/>
          <w:caps w:val="0"/>
          <w:color w:val="000000"/>
          <w:sz w:val="24"/>
          <w:szCs w:val="30"/>
          <w:highlight w:val="none"/>
          <w:u w:color="auto"/>
          <w:lang w:val="zh-CN" w:eastAsia="zh-CN" w:bidi="ar-SA"/>
        </w:rPr>
        <w:t>”</w:t>
      </w:r>
      <w:r>
        <w:rPr>
          <w:rFonts w:hint="default" w:ascii="Times New Roman" w:hAnsi="Times New Roman" w:eastAsia="宋体" w:cs="Times New Roman"/>
          <w:b w:val="0"/>
          <w:bCs/>
          <w:caps w:val="0"/>
          <w:color w:val="000000"/>
          <w:sz w:val="24"/>
          <w:szCs w:val="30"/>
          <w:highlight w:val="none"/>
          <w:u w:color="auto"/>
          <w:lang w:val="zh-CN" w:eastAsia="zh-CN" w:bidi="ar-SA"/>
        </w:rPr>
        <w:t>为主。</w:t>
      </w:r>
    </w:p>
    <w:p>
      <w:pPr>
        <w:spacing w:line="360" w:lineRule="auto"/>
        <w:jc w:val="center"/>
        <w:rPr>
          <w:rFonts w:hint="eastAsia" w:ascii="Times New Roman" w:hAnsi="Times New Roman" w:eastAsia="黑体" w:cs="Times New Roman"/>
          <w:b/>
          <w:color w:val="0F6FC6"/>
          <w:sz w:val="21"/>
          <w:u w:color="auto"/>
          <w:lang w:eastAsia="zh-CN"/>
        </w:rPr>
      </w:pPr>
      <w:r>
        <w:drawing>
          <wp:inline distT="0" distB="0" distL="114300" distR="114300">
            <wp:extent cx="5626735" cy="4649470"/>
            <wp:effectExtent l="0" t="0" r="12065" b="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25"/>
                    <a:stretch>
                      <a:fillRect/>
                    </a:stretch>
                  </pic:blipFill>
                  <pic:spPr>
                    <a:xfrm>
                      <a:off x="0" y="0"/>
                      <a:ext cx="5626735" cy="4649470"/>
                    </a:xfrm>
                    <a:prstGeom prst="rect">
                      <a:avLst/>
                    </a:prstGeom>
                    <a:noFill/>
                    <a:ln>
                      <a:noFill/>
                    </a:ln>
                  </pic:spPr>
                </pic:pic>
              </a:graphicData>
            </a:graphic>
          </wp:inline>
        </w:drawing>
      </w:r>
    </w:p>
    <w:p>
      <w:pPr>
        <w:spacing w:line="360" w:lineRule="auto"/>
        <w:jc w:val="center"/>
        <w:rPr>
          <w:rFonts w:hint="default" w:ascii="Times New Roman" w:hAnsi="Times New Roman" w:eastAsia="黑体" w:cs="Times New Roman"/>
          <w:b/>
          <w:color w:val="0F6FC6"/>
          <w:sz w:val="21"/>
          <w:u w:color="auto"/>
          <w:lang w:val="en-US" w:eastAsia="zh-CN"/>
        </w:rPr>
      </w:pPr>
      <w:r>
        <w:rPr>
          <w:rFonts w:hint="default" w:ascii="Times New Roman" w:hAnsi="Times New Roman" w:eastAsia="黑体" w:cs="Times New Roman"/>
          <w:b/>
          <w:color w:val="0F6FC6"/>
          <w:sz w:val="21"/>
          <w:u w:color="auto"/>
          <w:lang w:val="en-US" w:eastAsia="zh-CN"/>
        </w:rPr>
        <w:t>图1-2  2023届毕业生就业地区分布</w:t>
      </w:r>
    </w:p>
    <w:p>
      <w:pPr>
        <w:jc w:val="center"/>
        <w:rPr>
          <w:rFonts w:hint="default"/>
          <w:lang w:val="en-US" w:eastAsia="zh-CN"/>
        </w:rPr>
      </w:pPr>
      <w:r>
        <w:drawing>
          <wp:inline distT="0" distB="0" distL="114300" distR="114300">
            <wp:extent cx="5572125" cy="2460625"/>
            <wp:effectExtent l="0" t="0" r="9525" b="1587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26"/>
                    <a:stretch>
                      <a:fillRect/>
                    </a:stretch>
                  </pic:blipFill>
                  <pic:spPr>
                    <a:xfrm>
                      <a:off x="0" y="0"/>
                      <a:ext cx="5572125" cy="2460625"/>
                    </a:xfrm>
                    <a:prstGeom prst="rect">
                      <a:avLst/>
                    </a:prstGeom>
                    <a:noFill/>
                    <a:ln>
                      <a:noFill/>
                    </a:ln>
                  </pic:spPr>
                </pic:pic>
              </a:graphicData>
            </a:graphic>
          </wp:inline>
        </w:drawing>
      </w:r>
    </w:p>
    <w:p>
      <w:pPr>
        <w:jc w:val="center"/>
        <w:rPr>
          <w:rFonts w:hint="default" w:ascii="Times New Roman" w:hAnsi="Times New Roman" w:cs="Times New Roman"/>
        </w:rPr>
      </w:pPr>
      <w:r>
        <w:rPr>
          <w:rFonts w:hint="default" w:ascii="Times New Roman" w:hAnsi="Times New Roman" w:eastAsia="黑体" w:cs="Times New Roman"/>
          <w:b/>
          <w:color w:val="0F6FC6"/>
          <w:sz w:val="21"/>
          <w:u w:color="auto"/>
          <w:lang w:val="en-US" w:eastAsia="zh-CN"/>
        </w:rPr>
        <w:t>图1-3  2023届毕业生就业特色分布</w:t>
      </w:r>
    </w:p>
    <w:p>
      <w:pPr>
        <w:numPr>
          <w:ilvl w:val="1"/>
          <w:numId w:val="6"/>
        </w:numPr>
        <w:shd w:val="clear" w:color="auto" w:fill="FFFFFF"/>
        <w:spacing w:before="15" w:after="15" w:line="360" w:lineRule="auto"/>
        <w:jc w:val="left"/>
        <w:outlineLvl w:val="1"/>
        <w:rPr>
          <w:rFonts w:hint="default" w:ascii="Times New Roman" w:hAnsi="Times New Roman" w:cs="Times New Roman"/>
        </w:rPr>
      </w:pPr>
      <w:bookmarkStart w:id="6" w:name="_Toc10781"/>
      <w:r>
        <w:rPr>
          <w:rFonts w:hint="default" w:ascii="Times New Roman" w:hAnsi="Times New Roman" w:eastAsia="黑体" w:cs="Times New Roman"/>
          <w:b/>
          <w:color w:val="0F6FC6"/>
          <w:sz w:val="30"/>
          <w:u w:color="auto"/>
        </w:rPr>
        <w:t>三、就业相关分析</w:t>
      </w:r>
      <w:bookmarkEnd w:id="6"/>
    </w:p>
    <w:p>
      <w:pPr>
        <w:keepNext w:val="0"/>
        <w:keepLines w:val="0"/>
        <w:pageBreakBefore w:val="0"/>
        <w:widowControl w:val="0"/>
        <w:numPr>
          <w:ilvl w:val="1"/>
          <w:numId w:val="5"/>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caps w:val="0"/>
          <w:color w:val="000000"/>
          <w:sz w:val="24"/>
          <w:szCs w:val="30"/>
          <w:highlight w:val="none"/>
          <w:u w:color="auto"/>
          <w:lang w:val="en-US" w:eastAsia="zh-CN" w:bidi="ar-SA"/>
        </w:rPr>
      </w:pPr>
      <w:r>
        <w:rPr>
          <w:rFonts w:hint="default" w:ascii="Times New Roman" w:hAnsi="Times New Roman" w:eastAsia="宋体" w:cs="Times New Roman"/>
          <w:b w:val="0"/>
          <w:bCs/>
          <w:caps w:val="0"/>
          <w:color w:val="000000"/>
          <w:sz w:val="24"/>
          <w:szCs w:val="30"/>
          <w:highlight w:val="none"/>
          <w:u w:color="auto"/>
          <w:lang w:val="en-US" w:eastAsia="zh-CN" w:bidi="ar-SA"/>
        </w:rPr>
        <w:t>学校</w:t>
      </w:r>
      <w:r>
        <w:rPr>
          <w:rFonts w:hint="default" w:ascii="Times New Roman" w:hAnsi="Times New Roman" w:eastAsia="宋体" w:cs="Times New Roman"/>
          <w:b w:val="0"/>
          <w:bCs/>
          <w:caps w:val="0"/>
          <w:color w:val="000000"/>
          <w:sz w:val="24"/>
          <w:szCs w:val="30"/>
          <w:highlight w:val="none"/>
          <w:u w:color="auto"/>
          <w:lang w:val="zh-CN" w:eastAsia="zh-CN" w:bidi="ar-SA"/>
        </w:rPr>
        <w:t>2023届毕业生</w:t>
      </w:r>
      <w:r>
        <w:rPr>
          <w:rFonts w:hint="default" w:ascii="Times New Roman" w:hAnsi="Times New Roman" w:eastAsia="宋体" w:cs="Times New Roman"/>
          <w:b w:val="0"/>
          <w:bCs/>
          <w:caps w:val="0"/>
          <w:color w:val="000000"/>
          <w:sz w:val="24"/>
          <w:szCs w:val="30"/>
          <w:highlight w:val="none"/>
          <w:u w:color="auto"/>
          <w:lang w:val="en-US" w:eastAsia="zh-CN" w:bidi="ar-SA"/>
        </w:rPr>
        <w:t>就业质量处于较高水平，其中，毕业生的工作胜任度为</w:t>
      </w:r>
      <w:r>
        <w:rPr>
          <w:rFonts w:hint="eastAsia" w:ascii="Times New Roman" w:hAnsi="Times New Roman" w:eastAsia="宋体" w:cs="Times New Roman"/>
          <w:b w:val="0"/>
          <w:bCs/>
          <w:caps w:val="0"/>
          <w:color w:val="000000"/>
          <w:sz w:val="24"/>
          <w:szCs w:val="30"/>
          <w:highlight w:val="none"/>
          <w:u w:color="auto"/>
          <w:lang w:val="en-US" w:eastAsia="zh-CN" w:bidi="ar-SA"/>
        </w:rPr>
        <w:t>9</w:t>
      </w:r>
      <w:r>
        <w:rPr>
          <w:rFonts w:hint="eastAsia" w:cs="Times New Roman"/>
          <w:b w:val="0"/>
          <w:bCs/>
          <w:caps w:val="0"/>
          <w:color w:val="000000"/>
          <w:sz w:val="24"/>
          <w:szCs w:val="30"/>
          <w:highlight w:val="none"/>
          <w:u w:color="auto"/>
          <w:lang w:val="en-US" w:eastAsia="zh-CN" w:bidi="ar-SA"/>
        </w:rPr>
        <w:t>6.25</w:t>
      </w:r>
      <w:r>
        <w:rPr>
          <w:rFonts w:hint="default" w:ascii="Times New Roman" w:hAnsi="Times New Roman" w:eastAsia="宋体" w:cs="Times New Roman"/>
          <w:b w:val="0"/>
          <w:bCs/>
          <w:caps w:val="0"/>
          <w:color w:val="000000"/>
          <w:sz w:val="24"/>
          <w:szCs w:val="30"/>
          <w:highlight w:val="none"/>
          <w:u w:color="auto"/>
          <w:lang w:val="en-US" w:eastAsia="zh-CN" w:bidi="ar-SA"/>
        </w:rPr>
        <w:t>%，岗位适配度为9</w:t>
      </w:r>
      <w:r>
        <w:rPr>
          <w:rFonts w:hint="eastAsia" w:ascii="Times New Roman" w:hAnsi="Times New Roman" w:eastAsia="宋体" w:cs="Times New Roman"/>
          <w:b w:val="0"/>
          <w:bCs/>
          <w:caps w:val="0"/>
          <w:color w:val="000000"/>
          <w:sz w:val="24"/>
          <w:szCs w:val="30"/>
          <w:highlight w:val="none"/>
          <w:u w:color="auto"/>
          <w:lang w:val="en-US" w:eastAsia="zh-CN" w:bidi="ar-SA"/>
        </w:rPr>
        <w:t>4.</w:t>
      </w:r>
      <w:r>
        <w:rPr>
          <w:rFonts w:hint="eastAsia" w:cs="Times New Roman"/>
          <w:b w:val="0"/>
          <w:bCs/>
          <w:caps w:val="0"/>
          <w:color w:val="000000"/>
          <w:sz w:val="24"/>
          <w:szCs w:val="30"/>
          <w:highlight w:val="none"/>
          <w:u w:color="auto"/>
          <w:lang w:val="en-US" w:eastAsia="zh-CN" w:bidi="ar-SA"/>
        </w:rPr>
        <w:t>69</w:t>
      </w:r>
      <w:r>
        <w:rPr>
          <w:rFonts w:hint="default" w:ascii="Times New Roman" w:hAnsi="Times New Roman" w:eastAsia="宋体" w:cs="Times New Roman"/>
          <w:b w:val="0"/>
          <w:bCs/>
          <w:caps w:val="0"/>
          <w:color w:val="000000"/>
          <w:sz w:val="24"/>
          <w:szCs w:val="30"/>
          <w:highlight w:val="none"/>
          <w:u w:color="auto"/>
          <w:lang w:val="en-US" w:eastAsia="zh-CN" w:bidi="ar-SA"/>
        </w:rPr>
        <w:t>%。具体情况详见下图：</w:t>
      </w:r>
    </w:p>
    <w:p>
      <w:pPr>
        <w:jc w:val="center"/>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579110" cy="2421255"/>
            <wp:effectExtent l="0" t="0" r="2540" b="0"/>
            <wp:docPr id="123" name="图片 12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图片7"/>
                    <pic:cNvPicPr>
                      <a:picLocks noChangeAspect="1"/>
                    </pic:cNvPicPr>
                  </pic:nvPicPr>
                  <pic:blipFill>
                    <a:blip r:embed="rId27"/>
                    <a:stretch>
                      <a:fillRect/>
                    </a:stretch>
                  </pic:blipFill>
                  <pic:spPr>
                    <a:xfrm>
                      <a:off x="0" y="0"/>
                      <a:ext cx="5579110" cy="2421255"/>
                    </a:xfrm>
                    <a:prstGeom prst="rect">
                      <a:avLst/>
                    </a:prstGeom>
                  </pic:spPr>
                </pic:pic>
              </a:graphicData>
            </a:graphic>
          </wp:inline>
        </w:drawing>
      </w:r>
    </w:p>
    <w:p>
      <w:pPr>
        <w:spacing w:line="360" w:lineRule="auto"/>
        <w:jc w:val="center"/>
        <w:rPr>
          <w:rFonts w:hint="default" w:ascii="Times New Roman" w:hAnsi="Times New Roman" w:eastAsia="黑体" w:cs="Times New Roman"/>
          <w:b/>
          <w:color w:val="0F6FC6"/>
          <w:sz w:val="21"/>
          <w:u w:color="auto"/>
          <w:lang w:val="en-US" w:eastAsia="zh-CN"/>
        </w:rPr>
      </w:pPr>
      <w:r>
        <w:rPr>
          <w:rFonts w:hint="default" w:ascii="Times New Roman" w:hAnsi="Times New Roman" w:eastAsia="黑体" w:cs="Times New Roman"/>
          <w:b/>
          <w:color w:val="0F6FC6"/>
          <w:sz w:val="21"/>
          <w:u w:color="auto"/>
          <w:lang w:val="en-US" w:eastAsia="zh-CN"/>
        </w:rPr>
        <w:t>图1-4  2023届毕业生就业相关分析</w:t>
      </w:r>
    </w:p>
    <w:p>
      <w:pPr>
        <w:numPr>
          <w:ilvl w:val="1"/>
          <w:numId w:val="7"/>
        </w:numPr>
        <w:shd w:val="clear" w:color="auto" w:fill="FFFFFF"/>
        <w:spacing w:before="15" w:after="15" w:line="360" w:lineRule="auto"/>
        <w:jc w:val="left"/>
        <w:outlineLvl w:val="1"/>
        <w:rPr>
          <w:rFonts w:hint="default" w:ascii="Times New Roman" w:hAnsi="Times New Roman" w:cs="Times New Roman"/>
        </w:rPr>
      </w:pPr>
      <w:bookmarkStart w:id="7" w:name="_Toc16016"/>
      <w:r>
        <w:rPr>
          <w:rFonts w:hint="default" w:ascii="Times New Roman" w:hAnsi="Times New Roman" w:eastAsia="黑体" w:cs="Times New Roman"/>
          <w:b/>
          <w:color w:val="0F6FC6"/>
          <w:sz w:val="30"/>
          <w:u w:color="auto"/>
        </w:rPr>
        <w:t>四、对教育教学反馈</w:t>
      </w:r>
      <w:bookmarkEnd w:id="7"/>
    </w:p>
    <w:p>
      <w:pPr>
        <w:keepNext w:val="0"/>
        <w:keepLines w:val="0"/>
        <w:pageBreakBefore w:val="0"/>
        <w:widowControl w:val="0"/>
        <w:numPr>
          <w:ilvl w:val="1"/>
          <w:numId w:val="5"/>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caps w:val="0"/>
          <w:color w:val="000000"/>
          <w:sz w:val="24"/>
          <w:szCs w:val="30"/>
          <w:highlight w:val="none"/>
          <w:u w:color="auto"/>
          <w:lang w:val="zh-CN" w:eastAsia="zh-CN" w:bidi="ar-SA"/>
        </w:rPr>
      </w:pPr>
      <w:r>
        <w:rPr>
          <w:rFonts w:hint="default" w:ascii="Times New Roman" w:hAnsi="Times New Roman" w:eastAsia="宋体" w:cs="Times New Roman"/>
          <w:b w:val="0"/>
          <w:bCs/>
          <w:caps w:val="0"/>
          <w:color w:val="000000"/>
          <w:sz w:val="24"/>
          <w:szCs w:val="30"/>
          <w:highlight w:val="none"/>
          <w:u w:color="auto"/>
          <w:lang w:val="zh-CN" w:eastAsia="zh-CN" w:bidi="ar-SA"/>
        </w:rPr>
        <w:t>2023届毕业生对母校的</w:t>
      </w:r>
      <w:r>
        <w:rPr>
          <w:rFonts w:hint="default" w:ascii="Times New Roman" w:hAnsi="Times New Roman" w:eastAsia="宋体" w:cs="Times New Roman"/>
          <w:b w:val="0"/>
          <w:bCs/>
          <w:caps w:val="0"/>
          <w:color w:val="000000"/>
          <w:sz w:val="24"/>
          <w:szCs w:val="30"/>
          <w:highlight w:val="none"/>
          <w:u w:color="auto"/>
          <w:lang w:val="en-US" w:eastAsia="zh-CN" w:bidi="ar-SA"/>
        </w:rPr>
        <w:t>教育教学反馈均处于较高水平。其中，对母校的</w:t>
      </w:r>
      <w:r>
        <w:rPr>
          <w:rFonts w:hint="default" w:ascii="Times New Roman" w:hAnsi="Times New Roman" w:eastAsia="宋体" w:cs="Times New Roman"/>
          <w:b w:val="0"/>
          <w:bCs/>
          <w:caps w:val="0"/>
          <w:color w:val="000000"/>
          <w:sz w:val="24"/>
          <w:szCs w:val="30"/>
          <w:highlight w:val="none"/>
          <w:u w:color="auto"/>
          <w:lang w:val="zh-CN" w:eastAsia="zh-CN" w:bidi="ar-SA"/>
        </w:rPr>
        <w:t>满意度、推荐度分别为</w:t>
      </w:r>
      <w:r>
        <w:rPr>
          <w:rFonts w:hint="eastAsia" w:ascii="Times New Roman" w:hAnsi="Times New Roman" w:eastAsia="宋体" w:cs="Times New Roman"/>
          <w:b w:val="0"/>
          <w:bCs/>
          <w:caps w:val="0"/>
          <w:color w:val="000000"/>
          <w:sz w:val="24"/>
          <w:szCs w:val="30"/>
          <w:highlight w:val="none"/>
          <w:u w:color="auto"/>
          <w:lang w:val="en-US" w:eastAsia="zh-CN" w:bidi="ar-SA"/>
        </w:rPr>
        <w:t>95.70</w:t>
      </w:r>
      <w:r>
        <w:rPr>
          <w:rFonts w:hint="default" w:ascii="Times New Roman" w:hAnsi="Times New Roman" w:eastAsia="宋体" w:cs="Times New Roman"/>
          <w:b w:val="0"/>
          <w:bCs/>
          <w:caps w:val="0"/>
          <w:color w:val="000000"/>
          <w:sz w:val="24"/>
          <w:szCs w:val="30"/>
          <w:highlight w:val="none"/>
          <w:u w:color="auto"/>
          <w:lang w:val="zh-CN" w:eastAsia="zh-CN" w:bidi="ar-SA"/>
        </w:rPr>
        <w:t>%、</w:t>
      </w:r>
      <w:r>
        <w:rPr>
          <w:rFonts w:hint="default" w:ascii="Times New Roman" w:hAnsi="Times New Roman" w:eastAsia="宋体" w:cs="Times New Roman"/>
          <w:b w:val="0"/>
          <w:bCs/>
          <w:caps w:val="0"/>
          <w:color w:val="000000"/>
          <w:sz w:val="24"/>
          <w:szCs w:val="30"/>
          <w:highlight w:val="none"/>
          <w:u w:color="auto"/>
          <w:lang w:val="en-US" w:eastAsia="zh-CN" w:bidi="ar-SA"/>
        </w:rPr>
        <w:t>9</w:t>
      </w:r>
      <w:r>
        <w:rPr>
          <w:rFonts w:hint="eastAsia" w:ascii="Times New Roman" w:hAnsi="Times New Roman" w:eastAsia="宋体" w:cs="Times New Roman"/>
          <w:b w:val="0"/>
          <w:bCs/>
          <w:caps w:val="0"/>
          <w:color w:val="000000"/>
          <w:sz w:val="24"/>
          <w:szCs w:val="30"/>
          <w:highlight w:val="none"/>
          <w:u w:color="auto"/>
          <w:lang w:val="en-US" w:eastAsia="zh-CN" w:bidi="ar-SA"/>
        </w:rPr>
        <w:t>5.</w:t>
      </w:r>
      <w:r>
        <w:rPr>
          <w:rFonts w:hint="eastAsia" w:cs="Times New Roman"/>
          <w:b w:val="0"/>
          <w:bCs/>
          <w:caps w:val="0"/>
          <w:color w:val="000000"/>
          <w:sz w:val="24"/>
          <w:szCs w:val="30"/>
          <w:highlight w:val="none"/>
          <w:u w:color="auto"/>
          <w:lang w:val="en-US" w:eastAsia="zh-CN" w:bidi="ar-SA"/>
        </w:rPr>
        <w:t>22</w:t>
      </w:r>
      <w:r>
        <w:rPr>
          <w:rFonts w:hint="default" w:ascii="Times New Roman" w:hAnsi="Times New Roman" w:eastAsia="宋体" w:cs="Times New Roman"/>
          <w:b w:val="0"/>
          <w:bCs/>
          <w:caps w:val="0"/>
          <w:color w:val="000000"/>
          <w:sz w:val="24"/>
          <w:szCs w:val="30"/>
          <w:highlight w:val="none"/>
          <w:u w:color="auto"/>
          <w:lang w:val="zh-CN" w:eastAsia="zh-CN" w:bidi="ar-SA"/>
        </w:rPr>
        <w:t>%，</w:t>
      </w:r>
      <w:r>
        <w:rPr>
          <w:rFonts w:hint="default" w:ascii="Times New Roman" w:hAnsi="Times New Roman" w:eastAsia="宋体" w:cs="Times New Roman"/>
          <w:b w:val="0"/>
          <w:bCs/>
          <w:caps w:val="0"/>
          <w:color w:val="000000"/>
          <w:sz w:val="24"/>
          <w:szCs w:val="30"/>
          <w:highlight w:val="none"/>
          <w:u w:color="auto"/>
          <w:lang w:val="en-US" w:eastAsia="zh-CN" w:bidi="ar-SA"/>
        </w:rPr>
        <w:t>具体情况详见下图：</w:t>
      </w:r>
    </w:p>
    <w:p>
      <w:pPr>
        <w:spacing w:line="360" w:lineRule="auto"/>
        <w:jc w:val="center"/>
        <w:rPr>
          <w:rFonts w:hint="default" w:ascii="Times New Roman" w:hAnsi="Times New Roman" w:eastAsia="黑体" w:cs="Times New Roman"/>
          <w:b/>
          <w:color w:val="6ECD51"/>
          <w:sz w:val="21"/>
          <w:u w:color="auto"/>
          <w:lang w:val="en-US" w:eastAsia="zh-CN"/>
        </w:rPr>
      </w:pPr>
      <w:r>
        <w:rPr>
          <w:rFonts w:hint="default" w:ascii="Times New Roman" w:hAnsi="Times New Roman" w:eastAsia="黑体" w:cs="Times New Roman"/>
          <w:b/>
          <w:color w:val="6ECD51"/>
          <w:sz w:val="21"/>
          <w:u w:color="auto"/>
          <w:lang w:val="en-US" w:eastAsia="zh-CN"/>
        </w:rPr>
        <w:drawing>
          <wp:inline distT="0" distB="0" distL="114300" distR="114300">
            <wp:extent cx="5577840" cy="3547110"/>
            <wp:effectExtent l="0" t="0" r="0" b="0"/>
            <wp:docPr id="125" name="图片 12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图片8"/>
                    <pic:cNvPicPr>
                      <a:picLocks noChangeAspect="1"/>
                    </pic:cNvPicPr>
                  </pic:nvPicPr>
                  <pic:blipFill>
                    <a:blip r:embed="rId28"/>
                    <a:stretch>
                      <a:fillRect/>
                    </a:stretch>
                  </pic:blipFill>
                  <pic:spPr>
                    <a:xfrm>
                      <a:off x="0" y="0"/>
                      <a:ext cx="5577840" cy="3547110"/>
                    </a:xfrm>
                    <a:prstGeom prst="rect">
                      <a:avLst/>
                    </a:prstGeom>
                  </pic:spPr>
                </pic:pic>
              </a:graphicData>
            </a:graphic>
          </wp:inline>
        </w:drawing>
      </w:r>
    </w:p>
    <w:p>
      <w:pPr>
        <w:numPr>
          <w:ilvl w:val="1"/>
          <w:numId w:val="7"/>
        </w:numPr>
        <w:shd w:val="clear" w:color="auto" w:fill="FFFFFF"/>
        <w:spacing w:before="15" w:after="15" w:line="360" w:lineRule="auto"/>
        <w:jc w:val="center"/>
        <w:outlineLvl w:val="9"/>
        <w:rPr>
          <w:rFonts w:hint="default" w:ascii="Times New Roman" w:hAnsi="Times New Roman" w:cs="Times New Roman"/>
        </w:rPr>
      </w:pPr>
      <w:r>
        <w:rPr>
          <w:rFonts w:hint="default" w:ascii="Times New Roman" w:hAnsi="Times New Roman" w:eastAsia="黑体" w:cs="Times New Roman"/>
          <w:b/>
          <w:color w:val="0F6FC6"/>
          <w:sz w:val="21"/>
          <w:u w:color="auto"/>
          <w:lang w:val="en-US" w:eastAsia="zh-CN"/>
        </w:rPr>
        <w:t>图1-5  2023届毕业生对教育教学反馈</w:t>
      </w:r>
    </w:p>
    <w:p>
      <w:pPr>
        <w:numPr>
          <w:ilvl w:val="1"/>
          <w:numId w:val="8"/>
        </w:numPr>
        <w:shd w:val="clear" w:color="auto" w:fill="FFFFFF"/>
        <w:spacing w:before="15" w:after="15" w:line="360" w:lineRule="auto"/>
        <w:jc w:val="left"/>
        <w:outlineLvl w:val="1"/>
        <w:rPr>
          <w:rFonts w:hint="default" w:ascii="Times New Roman" w:hAnsi="Times New Roman" w:cs="Times New Roman"/>
        </w:rPr>
      </w:pPr>
      <w:bookmarkStart w:id="8" w:name="_Toc31552"/>
      <w:r>
        <w:rPr>
          <w:rFonts w:hint="default" w:ascii="Times New Roman" w:hAnsi="Times New Roman" w:eastAsia="黑体" w:cs="Times New Roman"/>
          <w:b/>
          <w:color w:val="0F6FC6"/>
          <w:sz w:val="30"/>
          <w:u w:color="auto"/>
        </w:rPr>
        <w:t>五、用人单位评价</w:t>
      </w:r>
      <w:bookmarkEnd w:id="8"/>
    </w:p>
    <w:p>
      <w:pPr>
        <w:keepNext w:val="0"/>
        <w:keepLines w:val="0"/>
        <w:pageBreakBefore w:val="0"/>
        <w:widowControl w:val="0"/>
        <w:numPr>
          <w:ilvl w:val="1"/>
          <w:numId w:val="5"/>
        </w:numPr>
        <w:kinsoku/>
        <w:wordWrap/>
        <w:overflowPunct/>
        <w:topLinePunct w:val="0"/>
        <w:autoSpaceDE/>
        <w:autoSpaceDN/>
        <w:bidi w:val="0"/>
        <w:adjustRightInd/>
        <w:snapToGrid/>
        <w:spacing w:after="10" w:line="360" w:lineRule="auto"/>
        <w:textAlignment w:val="auto"/>
        <w:rPr>
          <w:rFonts w:hint="default" w:ascii="Times New Roman" w:hAnsi="Times New Roman" w:eastAsia="宋体" w:cs="Times New Roman"/>
          <w:b w:val="0"/>
          <w:bCs/>
          <w:caps w:val="0"/>
          <w:color w:val="000000"/>
          <w:sz w:val="24"/>
          <w:szCs w:val="30"/>
          <w:highlight w:val="none"/>
          <w:u w:color="auto"/>
          <w:lang w:val="en-US" w:eastAsia="zh-CN" w:bidi="ar-SA"/>
        </w:rPr>
      </w:pPr>
      <w:r>
        <w:rPr>
          <w:rFonts w:hint="default" w:ascii="Times New Roman" w:hAnsi="Times New Roman" w:eastAsia="宋体" w:cs="Times New Roman"/>
          <w:b w:val="0"/>
          <w:bCs/>
          <w:caps w:val="0"/>
          <w:color w:val="000000"/>
          <w:sz w:val="24"/>
          <w:szCs w:val="30"/>
          <w:highlight w:val="none"/>
          <w:u w:color="auto"/>
          <w:lang w:val="zh-CN" w:eastAsia="zh-CN" w:bidi="ar-SA"/>
        </w:rPr>
        <w:t>用人单位对学校毕业生的总体满意度为</w:t>
      </w:r>
      <w:r>
        <w:rPr>
          <w:rFonts w:hint="default" w:ascii="Times New Roman" w:hAnsi="Times New Roman" w:eastAsia="宋体" w:cs="Times New Roman"/>
          <w:b w:val="0"/>
          <w:color w:val="000000"/>
          <w:sz w:val="24"/>
          <w:u w:color="auto"/>
          <w:lang w:val="en-US" w:eastAsia="zh-CN"/>
        </w:rPr>
        <w:t>9</w:t>
      </w:r>
      <w:r>
        <w:rPr>
          <w:rFonts w:hint="eastAsia" w:cs="Times New Roman"/>
          <w:b w:val="0"/>
          <w:color w:val="000000"/>
          <w:sz w:val="24"/>
          <w:u w:color="auto"/>
          <w:lang w:val="en-US" w:eastAsia="zh-CN"/>
        </w:rPr>
        <w:t>4.77</w:t>
      </w:r>
      <w:r>
        <w:rPr>
          <w:rFonts w:hint="default" w:ascii="Times New Roman" w:hAnsi="Times New Roman" w:eastAsia="宋体" w:cs="Times New Roman"/>
          <w:b w:val="0"/>
          <w:color w:val="000000"/>
          <w:sz w:val="24"/>
          <w:u w:color="auto"/>
          <w:lang w:eastAsia="zh-CN"/>
        </w:rPr>
        <w:t>%</w:t>
      </w:r>
      <w:r>
        <w:rPr>
          <w:rFonts w:hint="default" w:ascii="Times New Roman" w:hAnsi="Times New Roman" w:eastAsia="宋体" w:cs="Times New Roman"/>
          <w:b w:val="0"/>
          <w:bCs/>
          <w:caps w:val="0"/>
          <w:color w:val="000000"/>
          <w:sz w:val="24"/>
          <w:szCs w:val="30"/>
          <w:highlight w:val="none"/>
          <w:u w:color="auto"/>
          <w:lang w:val="zh-CN" w:eastAsia="zh-CN" w:bidi="ar-SA"/>
        </w:rPr>
        <w:t>，对政治素养的满意度为</w:t>
      </w:r>
      <w:r>
        <w:rPr>
          <w:rFonts w:hint="default" w:ascii="Times New Roman" w:hAnsi="Times New Roman" w:eastAsia="宋体" w:cs="Times New Roman"/>
          <w:b w:val="0"/>
          <w:bCs/>
          <w:caps w:val="0"/>
          <w:color w:val="000000"/>
          <w:sz w:val="24"/>
          <w:szCs w:val="30"/>
          <w:highlight w:val="none"/>
          <w:u w:color="auto"/>
          <w:lang w:val="en-US" w:eastAsia="zh-CN" w:bidi="ar-SA"/>
        </w:rPr>
        <w:t>9</w:t>
      </w:r>
      <w:r>
        <w:rPr>
          <w:rFonts w:hint="eastAsia" w:cs="Times New Roman"/>
          <w:b w:val="0"/>
          <w:bCs/>
          <w:caps w:val="0"/>
          <w:color w:val="000000"/>
          <w:sz w:val="24"/>
          <w:szCs w:val="30"/>
          <w:highlight w:val="none"/>
          <w:u w:color="auto"/>
          <w:lang w:val="en-US" w:eastAsia="zh-CN" w:bidi="ar-SA"/>
        </w:rPr>
        <w:t>5.42</w:t>
      </w:r>
      <w:r>
        <w:rPr>
          <w:rFonts w:hint="default" w:ascii="Times New Roman" w:hAnsi="Times New Roman" w:eastAsia="宋体" w:cs="Times New Roman"/>
          <w:b w:val="0"/>
          <w:bCs/>
          <w:caps w:val="0"/>
          <w:color w:val="000000"/>
          <w:sz w:val="24"/>
          <w:szCs w:val="30"/>
          <w:highlight w:val="none"/>
          <w:u w:color="auto"/>
          <w:lang w:val="zh-CN" w:eastAsia="zh-CN" w:bidi="ar-SA"/>
        </w:rPr>
        <w:t>%，对职业能力的满意度为</w:t>
      </w:r>
      <w:r>
        <w:rPr>
          <w:rFonts w:hint="default" w:ascii="Times New Roman" w:hAnsi="Times New Roman" w:eastAsia="宋体" w:cs="Times New Roman"/>
          <w:b w:val="0"/>
          <w:bCs/>
          <w:caps w:val="0"/>
          <w:color w:val="000000"/>
          <w:sz w:val="24"/>
          <w:szCs w:val="30"/>
          <w:highlight w:val="none"/>
          <w:u w:color="auto"/>
          <w:lang w:val="en-US" w:eastAsia="zh-CN" w:bidi="ar-SA"/>
        </w:rPr>
        <w:t>9</w:t>
      </w:r>
      <w:r>
        <w:rPr>
          <w:rFonts w:hint="eastAsia" w:cs="Times New Roman"/>
          <w:b w:val="0"/>
          <w:bCs/>
          <w:caps w:val="0"/>
          <w:color w:val="000000"/>
          <w:sz w:val="24"/>
          <w:szCs w:val="30"/>
          <w:highlight w:val="none"/>
          <w:u w:color="auto"/>
          <w:lang w:val="en-US" w:eastAsia="zh-CN" w:bidi="ar-SA"/>
        </w:rPr>
        <w:t>6.08</w:t>
      </w:r>
      <w:r>
        <w:rPr>
          <w:rFonts w:hint="default" w:ascii="Times New Roman" w:hAnsi="Times New Roman" w:eastAsia="宋体" w:cs="Times New Roman"/>
          <w:b w:val="0"/>
          <w:bCs/>
          <w:caps w:val="0"/>
          <w:color w:val="000000"/>
          <w:sz w:val="24"/>
          <w:szCs w:val="30"/>
          <w:highlight w:val="none"/>
          <w:u w:color="auto"/>
          <w:lang w:val="zh-CN" w:eastAsia="zh-CN" w:bidi="ar-SA"/>
        </w:rPr>
        <w:t>%，对专业</w:t>
      </w:r>
      <w:r>
        <w:rPr>
          <w:rFonts w:hint="default" w:ascii="Times New Roman" w:hAnsi="Times New Roman" w:eastAsia="宋体" w:cs="Times New Roman"/>
          <w:b w:val="0"/>
          <w:bCs/>
          <w:caps w:val="0"/>
          <w:color w:val="000000"/>
          <w:sz w:val="24"/>
          <w:szCs w:val="30"/>
          <w:highlight w:val="none"/>
          <w:u w:color="auto"/>
          <w:lang w:val="en-US" w:eastAsia="zh-CN" w:bidi="ar-SA"/>
        </w:rPr>
        <w:t>知识</w:t>
      </w:r>
      <w:r>
        <w:rPr>
          <w:rFonts w:hint="default" w:ascii="Times New Roman" w:hAnsi="Times New Roman" w:eastAsia="宋体" w:cs="Times New Roman"/>
          <w:b w:val="0"/>
          <w:bCs/>
          <w:caps w:val="0"/>
          <w:color w:val="000000"/>
          <w:sz w:val="24"/>
          <w:szCs w:val="30"/>
          <w:highlight w:val="none"/>
          <w:u w:color="auto"/>
          <w:lang w:val="zh-CN" w:eastAsia="zh-CN" w:bidi="ar-SA"/>
        </w:rPr>
        <w:t>的满意度为</w:t>
      </w:r>
      <w:r>
        <w:rPr>
          <w:rFonts w:hint="eastAsia" w:ascii="Times New Roman" w:hAnsi="Times New Roman" w:eastAsia="宋体" w:cs="Times New Roman"/>
          <w:b w:val="0"/>
          <w:bCs/>
          <w:caps w:val="0"/>
          <w:color w:val="000000"/>
          <w:sz w:val="24"/>
          <w:szCs w:val="30"/>
          <w:highlight w:val="none"/>
          <w:u w:color="auto"/>
          <w:lang w:val="en-US" w:eastAsia="zh-CN" w:bidi="ar-SA"/>
        </w:rPr>
        <w:t>9</w:t>
      </w:r>
      <w:r>
        <w:rPr>
          <w:rFonts w:hint="eastAsia" w:cs="Times New Roman"/>
          <w:b w:val="0"/>
          <w:bCs/>
          <w:caps w:val="0"/>
          <w:color w:val="000000"/>
          <w:sz w:val="24"/>
          <w:szCs w:val="30"/>
          <w:highlight w:val="none"/>
          <w:u w:color="auto"/>
          <w:lang w:val="en-US" w:eastAsia="zh-CN" w:bidi="ar-SA"/>
        </w:rPr>
        <w:t>6.08</w:t>
      </w:r>
      <w:r>
        <w:rPr>
          <w:rFonts w:hint="default" w:ascii="Times New Roman" w:hAnsi="Times New Roman" w:eastAsia="宋体" w:cs="Times New Roman"/>
          <w:b w:val="0"/>
          <w:bCs/>
          <w:caps w:val="0"/>
          <w:color w:val="000000"/>
          <w:sz w:val="24"/>
          <w:szCs w:val="30"/>
          <w:highlight w:val="none"/>
          <w:u w:color="auto"/>
          <w:lang w:val="zh-CN" w:eastAsia="zh-CN" w:bidi="ar-SA"/>
        </w:rPr>
        <w:t>%，对综合能力的满意度为</w:t>
      </w:r>
      <w:r>
        <w:rPr>
          <w:rFonts w:hint="default" w:ascii="Times New Roman" w:hAnsi="Times New Roman" w:eastAsia="宋体" w:cs="Times New Roman"/>
          <w:b w:val="0"/>
          <w:bCs/>
          <w:caps w:val="0"/>
          <w:color w:val="000000"/>
          <w:sz w:val="24"/>
          <w:szCs w:val="30"/>
          <w:highlight w:val="none"/>
          <w:u w:color="auto"/>
          <w:lang w:val="en-US" w:eastAsia="zh-CN" w:bidi="ar-SA"/>
        </w:rPr>
        <w:t>9</w:t>
      </w:r>
      <w:r>
        <w:rPr>
          <w:rFonts w:hint="eastAsia" w:cs="Times New Roman"/>
          <w:b w:val="0"/>
          <w:bCs/>
          <w:caps w:val="0"/>
          <w:color w:val="000000"/>
          <w:sz w:val="24"/>
          <w:szCs w:val="30"/>
          <w:highlight w:val="none"/>
          <w:u w:color="auto"/>
          <w:lang w:val="en-US" w:eastAsia="zh-CN" w:bidi="ar-SA"/>
        </w:rPr>
        <w:t>4.77</w:t>
      </w:r>
      <w:r>
        <w:rPr>
          <w:rFonts w:hint="default" w:ascii="Times New Roman" w:hAnsi="Times New Roman" w:eastAsia="宋体" w:cs="Times New Roman"/>
          <w:b w:val="0"/>
          <w:bCs/>
          <w:caps w:val="0"/>
          <w:color w:val="000000"/>
          <w:sz w:val="24"/>
          <w:szCs w:val="30"/>
          <w:highlight w:val="none"/>
          <w:u w:color="auto"/>
          <w:lang w:val="zh-CN" w:eastAsia="zh-CN" w:bidi="ar-SA"/>
        </w:rPr>
        <w:t>%。</w:t>
      </w:r>
    </w:p>
    <w:p>
      <w:pPr>
        <w:pStyle w:val="3"/>
        <w:bidi w:val="0"/>
        <w:rPr>
          <w:rFonts w:hint="eastAsia" w:ascii="Times New Roman" w:hAnsi="Times New Roman" w:eastAsia="黑体" w:cs="Times New Roman"/>
          <w:highlight w:val="none"/>
          <w:lang w:eastAsia="zh-CN"/>
        </w:rPr>
      </w:pPr>
      <w:r>
        <w:rPr>
          <w:rFonts w:hint="eastAsia" w:ascii="Times New Roman" w:hAnsi="Times New Roman" w:eastAsia="黑体" w:cs="Times New Roman"/>
          <w:highlight w:val="none"/>
          <w:lang w:eastAsia="zh-CN"/>
        </w:rPr>
        <w:drawing>
          <wp:inline distT="0" distB="0" distL="114300" distR="114300">
            <wp:extent cx="3702050" cy="3423920"/>
            <wp:effectExtent l="0" t="0" r="12700" b="5080"/>
            <wp:docPr id="127" name="图片 1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图片2"/>
                    <pic:cNvPicPr>
                      <a:picLocks noChangeAspect="1"/>
                    </pic:cNvPicPr>
                  </pic:nvPicPr>
                  <pic:blipFill>
                    <a:blip r:embed="rId29"/>
                    <a:stretch>
                      <a:fillRect/>
                    </a:stretch>
                  </pic:blipFill>
                  <pic:spPr>
                    <a:xfrm>
                      <a:off x="0" y="0"/>
                      <a:ext cx="3702050" cy="3423920"/>
                    </a:xfrm>
                    <a:prstGeom prst="rect">
                      <a:avLst/>
                    </a:prstGeom>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黑体" w:cs="Times New Roman"/>
          <w:b/>
          <w:color w:val="0F6FC6"/>
          <w:sz w:val="21"/>
          <w:u w:color="auto"/>
          <w:lang w:val="en-US" w:eastAsia="zh-CN"/>
        </w:rPr>
        <w:t>图1-6  用人单位评价</w:t>
      </w:r>
    </w:p>
    <w:p>
      <w:pPr>
        <w:pageBreakBefore/>
        <w:numPr>
          <w:ilvl w:val="0"/>
          <w:numId w:val="9"/>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hint="default" w:ascii="Times New Roman" w:hAnsi="Times New Roman" w:cs="Times New Roman"/>
        </w:rPr>
      </w:pPr>
      <w:bookmarkStart w:id="9" w:name="_Toc1735"/>
      <w:r>
        <w:rPr>
          <w:rFonts w:hint="default" w:ascii="Times New Roman" w:hAnsi="Times New Roman" w:eastAsia="黑体" w:cs="Times New Roman"/>
          <w:b/>
          <w:color w:val="FFFFFF"/>
          <w:sz w:val="36"/>
          <w:u w:color="auto"/>
        </w:rPr>
        <w:t>PART 02  毕业生就业基本情况</w:t>
      </w:r>
      <w:bookmarkEnd w:id="9"/>
    </w:p>
    <w:p>
      <w:pPr>
        <w:rPr>
          <w:rFonts w:hint="default" w:ascii="Times New Roman" w:hAnsi="Times New Roman" w:cs="Times New Roman"/>
        </w:rPr>
      </w:pPr>
      <w:r>
        <w:rPr>
          <w:rFonts w:hint="default" w:ascii="Times New Roman" w:hAnsi="Times New Roman" w:cs="Times New Roman"/>
        </w:rPr>
        <w:t>
</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该部分主要是对学校毕业生就业基本情况进行全面、系统的分析，毕业生就业质量是学校教育教学和人才培养质量的重要反映，该部分包含毕业生的规模和结构、毕业去向落实率、升学等相关指标，是研究和优化学校培养体系的重要参考，使学校建立健全就业状况反馈机制、引导学校优化招生和专业结构、改进人才培养模式。</w:t>
      </w:r>
    </w:p>
    <w:p>
      <w:pPr>
        <w:numPr>
          <w:ilvl w:val="1"/>
          <w:numId w:val="10"/>
        </w:numPr>
        <w:shd w:val="clear" w:color="auto" w:fill="FFFFFF"/>
        <w:spacing w:before="15" w:after="15" w:line="360" w:lineRule="auto"/>
        <w:jc w:val="left"/>
        <w:outlineLvl w:val="1"/>
        <w:rPr>
          <w:rFonts w:hint="default" w:ascii="Times New Roman" w:hAnsi="Times New Roman" w:cs="Times New Roman"/>
        </w:rPr>
      </w:pPr>
      <w:bookmarkStart w:id="10" w:name="_Toc20572"/>
      <w:r>
        <w:rPr>
          <w:rFonts w:hint="default" w:ascii="Times New Roman" w:hAnsi="Times New Roman" w:eastAsia="黑体" w:cs="Times New Roman"/>
          <w:b/>
          <w:color w:val="0F6FC6"/>
          <w:sz w:val="30"/>
          <w:u w:color="auto"/>
        </w:rPr>
        <w:t>一、毕业生的规模和结构</w:t>
      </w:r>
      <w:bookmarkEnd w:id="1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毕业生规模与结构是就业质量年报的基础数据，客观反映了毕业生的人数及分布情况。掌握不同性别、不同生源地毕业生的比例以及各院系、专业的毕业生规模，是开展调研和分析数据的必备条件，也有利于学校合理分配资源和精准施策。</w:t>
      </w:r>
    </w:p>
    <w:p>
      <w:pPr>
        <w:numPr>
          <w:ilvl w:val="2"/>
          <w:numId w:val="11"/>
        </w:numPr>
        <w:shd w:val="clear" w:color="auto" w:fill="FFFFFF"/>
        <w:spacing w:before="15" w:after="15" w:line="360" w:lineRule="auto"/>
        <w:jc w:val="left"/>
        <w:outlineLvl w:val="2"/>
        <w:rPr>
          <w:rFonts w:hint="default" w:ascii="Times New Roman" w:hAnsi="Times New Roman" w:cs="Times New Roman"/>
        </w:rPr>
      </w:pPr>
      <w:bookmarkStart w:id="11" w:name="_Toc23634"/>
      <w:r>
        <w:rPr>
          <w:rFonts w:hint="default" w:ascii="Times New Roman" w:hAnsi="Times New Roman" w:eastAsia="黑体" w:cs="Times New Roman"/>
          <w:b/>
          <w:color w:val="0F6FC6"/>
          <w:sz w:val="28"/>
          <w:u w:color="auto"/>
        </w:rPr>
        <w:t>（一）毕业生的总体规模</w:t>
      </w:r>
      <w:bookmarkEnd w:id="1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20" w:firstLineChars="200"/>
        <w:jc w:val="both"/>
        <w:textAlignment w:val="auto"/>
        <w:rPr>
          <w:rFonts w:hint="default" w:ascii="Times New Roman" w:hAnsi="Times New Roman" w:cs="Times New Roman"/>
        </w:rPr>
      </w:pPr>
      <w:r>
        <w:rPr>
          <w:rFonts w:hint="default" w:ascii="Times New Roman" w:hAnsi="Times New Roman" w:eastAsia="宋体" w:cs="Times New Roman"/>
          <w:highlight w:val="none"/>
          <w:lang w:eastAsia="zh-CN"/>
        </w:rPr>
        <w:drawing>
          <wp:anchor distT="0" distB="0" distL="114300" distR="114300" simplePos="0" relativeHeight="251665408" behindDoc="0" locked="0" layoutInCell="1" allowOverlap="1">
            <wp:simplePos x="0" y="0"/>
            <wp:positionH relativeFrom="column">
              <wp:posOffset>3217545</wp:posOffset>
            </wp:positionH>
            <wp:positionV relativeFrom="paragraph">
              <wp:posOffset>539750</wp:posOffset>
            </wp:positionV>
            <wp:extent cx="2231390" cy="1676400"/>
            <wp:effectExtent l="0" t="0" r="0" b="0"/>
            <wp:wrapNone/>
            <wp:docPr id="356" name="图表 356"/>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0475845&quot;,&quot;origin&quot;:0,&quot;type&quot;:&quot;charts&quot;,&quot;user&quot;:&quot;1432723455&quot;}"/>
                  </s:tag>
                </a:ext>
              </a:extLs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hint="default" w:ascii="Times New Roman" w:hAnsi="Times New Roman" w:eastAsia="宋体" w:cs="Times New Roman"/>
          <w:b w:val="0"/>
          <w:color w:val="000000"/>
          <w:sz w:val="24"/>
          <w:u w:color="auto"/>
        </w:rPr>
        <w:t>学校2023届毕业生共4664人。其中，男生1381人，占比29.61%；女生3283人，占比70.39%。</w:t>
      </w:r>
    </w:p>
    <w:p>
      <w:pPr>
        <w:jc w:val="left"/>
        <w:rPr>
          <w:rFonts w:hint="default" w:ascii="Times New Roman" w:hAnsi="Times New Roman" w:cs="Times New Roman"/>
        </w:rPr>
      </w:pPr>
      <w:r>
        <w:rPr>
          <w:rFonts w:hint="default" w:ascii="Times New Roman" w:hAnsi="Times New Roman" w:cs="Times New Roman"/>
          <w:sz w:val="21"/>
          <w:highlight w:val="none"/>
        </w:rPr>
        <w:drawing>
          <wp:anchor distT="0" distB="0" distL="114300" distR="114300" simplePos="0" relativeHeight="251667456" behindDoc="0" locked="0" layoutInCell="1" allowOverlap="1">
            <wp:simplePos x="0" y="0"/>
            <wp:positionH relativeFrom="column">
              <wp:posOffset>805815</wp:posOffset>
            </wp:positionH>
            <wp:positionV relativeFrom="paragraph">
              <wp:posOffset>417195</wp:posOffset>
            </wp:positionV>
            <wp:extent cx="674370" cy="646430"/>
            <wp:effectExtent l="0" t="0" r="0" b="1270"/>
            <wp:wrapNone/>
            <wp:docPr id="361" name="图片 361" descr="3b32313537373636323b5973751f"/>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1367936065&quot;}"/>
                  </s:tag>
                </a:ext>
              </a:extLst>
            </wp:cNvGraphicFramePr>
            <a:graphic xmlns:a="http://schemas.openxmlformats.org/drawingml/2006/main">
              <a:graphicData uri="http://schemas.openxmlformats.org/drawingml/2006/picture">
                <pic:pic xmlns:pic="http://schemas.openxmlformats.org/drawingml/2006/picture">
                  <pic:nvPicPr>
                    <pic:cNvPr id="361" name="图片 361" descr="3b32313537373636323b5973751f"/>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674370" cy="646430"/>
                    </a:xfrm>
                    <a:prstGeom prst="rect">
                      <a:avLst/>
                    </a:prstGeom>
                  </pic:spPr>
                </pic:pic>
              </a:graphicData>
            </a:graphic>
          </wp:anchor>
        </w:drawing>
      </w:r>
      <w:r>
        <w:rPr>
          <w:rFonts w:hint="default" w:ascii="Times New Roman" w:hAnsi="Times New Roman" w:cs="Times New Roman"/>
          <w:sz w:val="21"/>
          <w:highlight w:val="none"/>
        </w:rPr>
        <w:drawing>
          <wp:anchor distT="0" distB="0" distL="114300" distR="114300" simplePos="0" relativeHeight="251668480" behindDoc="0" locked="0" layoutInCell="1" allowOverlap="1">
            <wp:simplePos x="0" y="0"/>
            <wp:positionH relativeFrom="column">
              <wp:posOffset>4063365</wp:posOffset>
            </wp:positionH>
            <wp:positionV relativeFrom="paragraph">
              <wp:posOffset>343535</wp:posOffset>
            </wp:positionV>
            <wp:extent cx="647700" cy="647700"/>
            <wp:effectExtent l="0" t="0" r="0" b="0"/>
            <wp:wrapNone/>
            <wp:docPr id="360" name="图片 360" descr="3b32313537373636363b7537751f"/>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1367936065&quot;}"/>
                  </s:tag>
                </a:ext>
              </a:extLst>
            </wp:cNvGraphicFramePr>
            <a:graphic xmlns:a="http://schemas.openxmlformats.org/drawingml/2006/main">
              <a:graphicData uri="http://schemas.openxmlformats.org/drawingml/2006/picture">
                <pic:pic xmlns:pic="http://schemas.openxmlformats.org/drawingml/2006/picture">
                  <pic:nvPicPr>
                    <pic:cNvPr id="360" name="图片 360" descr="3b32313537373636363b7537751f"/>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647700" cy="647700"/>
                    </a:xfrm>
                    <a:prstGeom prst="rect">
                      <a:avLst/>
                    </a:prstGeom>
                  </pic:spPr>
                </pic:pic>
              </a:graphicData>
            </a:graphic>
          </wp:anchor>
        </w:drawing>
      </w:r>
      <w:r>
        <w:rPr>
          <w:rFonts w:hint="default" w:ascii="Times New Roman" w:hAnsi="Times New Roman" w:cs="Times New Roman"/>
          <w:sz w:val="21"/>
        </w:rPr>
        <mc:AlternateContent>
          <mc:Choice Requires="wpg">
            <w:drawing>
              <wp:anchor distT="0" distB="0" distL="114300" distR="114300" simplePos="0" relativeHeight="251666432" behindDoc="0" locked="0" layoutInCell="1" allowOverlap="1">
                <wp:simplePos x="0" y="0"/>
                <wp:positionH relativeFrom="column">
                  <wp:posOffset>2163445</wp:posOffset>
                </wp:positionH>
                <wp:positionV relativeFrom="paragraph">
                  <wp:posOffset>502920</wp:posOffset>
                </wp:positionV>
                <wp:extent cx="1122680" cy="676910"/>
                <wp:effectExtent l="0" t="0" r="1270" b="0"/>
                <wp:wrapNone/>
                <wp:docPr id="92" name="组合 23"/>
                <wp:cNvGraphicFramePr/>
                <a:graphic xmlns:a="http://schemas.openxmlformats.org/drawingml/2006/main">
                  <a:graphicData uri="http://schemas.microsoft.com/office/word/2010/wordprocessingGroup">
                    <wpg:wgp>
                      <wpg:cNvGrpSpPr/>
                      <wpg:grpSpPr>
                        <a:xfrm>
                          <a:off x="0" y="0"/>
                          <a:ext cx="1122680" cy="676910"/>
                          <a:chOff x="9651" y="265955"/>
                          <a:chExt cx="1768" cy="1066"/>
                        </a:xfrm>
                      </wpg:grpSpPr>
                      <wps:wsp>
                        <wps:cNvPr id="85" name="文本框 363"/>
                        <wps:cNvSpPr txBox="1"/>
                        <wps:spPr>
                          <a:xfrm>
                            <a:off x="9787" y="265955"/>
                            <a:ext cx="1472" cy="454"/>
                          </a:xfrm>
                          <a:prstGeom prst="rect">
                            <a:avLst/>
                          </a:prstGeom>
                          <a:noFill/>
                          <a:ln w="6350">
                            <a:noFill/>
                          </a:ln>
                        </wps:spPr>
                        <wps:txbx>
                          <w:txbxContent>
                            <w:p>
                              <w:pPr>
                                <w:rPr>
                                  <w:rFonts w:hint="default" w:eastAsia="宋体"/>
                                  <w:b/>
                                  <w:bCs/>
                                  <w:lang w:val="en-US" w:eastAsia="zh-CN"/>
                                </w:rPr>
                              </w:pPr>
                              <w:r>
                                <w:rPr>
                                  <w:rFonts w:hint="eastAsia"/>
                                  <w:b/>
                                  <w:bCs/>
                                  <w:lang w:val="en-US" w:eastAsia="zh-CN"/>
                                </w:rPr>
                                <w:t>女生：男生</w:t>
                              </w:r>
                            </w:p>
                          </w:txbxContent>
                        </wps:txbx>
                        <wps:bodyPr upright="1"/>
                      </wps:wsp>
                      <wps:wsp>
                        <wps:cNvPr id="86" name="文本框 73"/>
                        <wps:cNvSpPr txBox="1"/>
                        <wps:spPr>
                          <a:xfrm>
                            <a:off x="9771" y="266567"/>
                            <a:ext cx="1472" cy="454"/>
                          </a:xfrm>
                          <a:prstGeom prst="rect">
                            <a:avLst/>
                          </a:prstGeom>
                          <a:noFill/>
                          <a:ln w="6350">
                            <a:noFill/>
                          </a:ln>
                        </wps:spPr>
                        <wps:txbx>
                          <w:txbxContent>
                            <w:p>
                              <w:pPr>
                                <w:jc w:val="center"/>
                                <w:rPr>
                                  <w:rFonts w:hint="default" w:eastAsia="宋体"/>
                                  <w:b/>
                                  <w:bCs/>
                                  <w:sz w:val="26"/>
                                  <w:szCs w:val="26"/>
                                  <w:lang w:val="en-US" w:eastAsia="zh-CN"/>
                                </w:rPr>
                              </w:pPr>
                              <w:r>
                                <w:rPr>
                                  <w:rFonts w:hint="eastAsia"/>
                                  <w:b/>
                                  <w:bCs/>
                                  <w:sz w:val="26"/>
                                  <w:szCs w:val="26"/>
                                  <w:lang w:val="en-US" w:eastAsia="zh-CN"/>
                                </w:rPr>
                                <w:t>2.38:1</w:t>
                              </w:r>
                            </w:p>
                          </w:txbxContent>
                        </wps:txbx>
                        <wps:bodyPr upright="1"/>
                      </wps:wsp>
                      <wpg:grpSp>
                        <wpg:cNvPr id="91" name="组合 359"/>
                        <wpg:cNvGrpSpPr/>
                        <wpg:grpSpPr>
                          <a:xfrm>
                            <a:off x="9651" y="266254"/>
                            <a:ext cx="1768" cy="428"/>
                            <a:chOff x="4213" y="235970"/>
                            <a:chExt cx="1768" cy="428"/>
                          </a:xfrm>
                        </wpg:grpSpPr>
                        <wps:wsp>
                          <wps:cNvPr id="89" name="右箭头 357"/>
                          <wps:cNvSpPr/>
                          <wps:spPr>
                            <a:xfrm>
                              <a:off x="5093" y="235970"/>
                              <a:ext cx="888" cy="428"/>
                            </a:xfrm>
                            <a:prstGeom prst="rightArrow">
                              <a:avLst>
                                <a:gd name="adj1" fmla="val 50000"/>
                                <a:gd name="adj2" fmla="val 49996"/>
                              </a:avLst>
                            </a:prstGeom>
                            <a:solidFill>
                              <a:srgbClr val="4F81BD"/>
                            </a:solidFill>
                            <a:ln w="25400">
                              <a:noFill/>
                            </a:ln>
                          </wps:spPr>
                          <wps:bodyPr anchor="ctr" anchorCtr="0" upright="1"/>
                        </wps:wsp>
                        <wps:wsp>
                          <wps:cNvPr id="90" name="右箭头 358"/>
                          <wps:cNvSpPr/>
                          <wps:spPr>
                            <a:xfrm flipH="1">
                              <a:off x="4213" y="235970"/>
                              <a:ext cx="888" cy="428"/>
                            </a:xfrm>
                            <a:prstGeom prst="rightArrow">
                              <a:avLst>
                                <a:gd name="adj1" fmla="val 50000"/>
                                <a:gd name="adj2" fmla="val 49996"/>
                              </a:avLst>
                            </a:prstGeom>
                            <a:solidFill>
                              <a:srgbClr val="4F81BD"/>
                            </a:solidFill>
                            <a:ln w="25400">
                              <a:noFill/>
                            </a:ln>
                          </wps:spPr>
                          <wps:bodyPr anchor="ctr" anchorCtr="0" upright="1"/>
                        </wps:wsp>
                      </wpg:grpSp>
                    </wpg:wgp>
                  </a:graphicData>
                </a:graphic>
              </wp:anchor>
            </w:drawing>
          </mc:Choice>
          <mc:Fallback>
            <w:pict>
              <v:group id="组合 23" o:spid="_x0000_s1026" o:spt="203" style="position:absolute;left:0pt;margin-left:170.35pt;margin-top:39.6pt;height:53.3pt;width:88.4pt;z-index:251666432;mso-width-relative:page;mso-height-relative:page;" coordorigin="9651,265955" coordsize="1768,1066" o:gfxdata="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4MVv9NsAAAAKAQAADwAAAAAAAAABACAAAAAiAAAAZHJzL2Rvd25yZXYu&#10;eG1sUEsBAhQAFAAAAAgAh07iQPuDPEROAwAAWQsAAA4AAAAAAAAAAQAgAAAAKgEAAGRycy9lMm9E&#10;b2MueG1sUEsFBgAAAAAGAAYAWQEAAOoGAAAAAA==&#10;">
                <o:lock v:ext="edit" aspectratio="f"/>
                <v:shape id="文本框 363" o:spid="_x0000_s1026" o:spt="202" type="#_x0000_t202" style="position:absolute;left:9787;top:265955;height:454;width:1472;"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女生：男生</w:t>
                        </w:r>
                      </w:p>
                    </w:txbxContent>
                  </v:textbox>
                </v:shape>
                <v:shape id="文本框 73" o:spid="_x0000_s1026" o:spt="202" type="#_x0000_t202" style="position:absolute;left:9771;top:266567;height:454;width:1472;"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eastAsia="宋体"/>
                            <w:b/>
                            <w:bCs/>
                            <w:sz w:val="26"/>
                            <w:szCs w:val="26"/>
                            <w:lang w:val="en-US" w:eastAsia="zh-CN"/>
                          </w:rPr>
                        </w:pPr>
                        <w:r>
                          <w:rPr>
                            <w:rFonts w:hint="eastAsia"/>
                            <w:b/>
                            <w:bCs/>
                            <w:sz w:val="26"/>
                            <w:szCs w:val="26"/>
                            <w:lang w:val="en-US" w:eastAsia="zh-CN"/>
                          </w:rPr>
                          <w:t>2.38:1</w:t>
                        </w:r>
                      </w:p>
                    </w:txbxContent>
                  </v:textbox>
                </v:shape>
                <v:group id="组合 359" o:spid="_x0000_s1026" o:spt="203" style="position:absolute;left:9651;top:266254;height:428;width:1768;" coordorigin="4213,235970" coordsize="1768,428"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右箭头 357" o:spid="_x0000_s1026" o:spt="13" type="#_x0000_t13" style="position:absolute;left:5093;top:235970;height:428;width:888;v-text-anchor:middle;" fillcolor="#4F81BD" filled="t" stroked="f" coordsize="21600,21600" o:gfxdata="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rJoetwAAANsAAAAP&#10;AAAAAAAAAAEAIAAAACIAAABkcnMvZG93bnJldi54bWxQSwECFAAUAAAACACHTuJAMy8FnjsAAAA5&#10;AAAAEAAAAAAAAAABACAAAAAGAQAAZHJzL3NoYXBleG1sLnhtbFBLBQYAAAAABgAGAFsBAACwAwAA&#10;AAA=&#10;" adj="16396,5400">
                    <v:fill on="t" focussize="0,0"/>
                    <v:stroke on="f" weight="2pt"/>
                    <v:imagedata o:title=""/>
                    <o:lock v:ext="edit" aspectratio="f"/>
                  </v:shape>
                  <v:shape id="右箭头 358" o:spid="_x0000_s1026" o:spt="13" type="#_x0000_t13" style="position:absolute;left:4213;top:235970;flip:x;height:428;width:888;v-text-anchor:middle;" fillcolor="#4F81BD" filled="t" stroked="f" coordsize="21600,21600" o:gfxdata="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W7XmugAAANsA&#10;AAAPAAAAAAAAAAEAIAAAACIAAABkcnMvZG93bnJldi54bWxQSwECFAAUAAAACACHTuJAMy8FnjsA&#10;AAA5AAAAEAAAAAAAAAABACAAAAAJAQAAZHJzL3NoYXBleG1sLnhtbFBLBQYAAAAABgAGAFsBAACz&#10;AwAAAAA=&#10;" adj="16396,5400">
                    <v:fill on="t" focussize="0,0"/>
                    <v:stroke on="f" weight="2pt"/>
                    <v:imagedata o:title=""/>
                    <o:lock v:ext="edit" aspectratio="f"/>
                  </v:shape>
                </v:group>
              </v:group>
            </w:pict>
          </mc:Fallback>
        </mc:AlternateContent>
      </w:r>
      <w:r>
        <w:rPr>
          <w:rFonts w:hint="default" w:ascii="Times New Roman" w:hAnsi="Times New Roman" w:eastAsia="宋体" w:cs="Times New Roman"/>
          <w:highlight w:val="none"/>
          <w:lang w:eastAsia="zh-CN"/>
        </w:rPr>
        <w:drawing>
          <wp:inline distT="0" distB="0" distL="114300" distR="114300">
            <wp:extent cx="2253615" cy="1624330"/>
            <wp:effectExtent l="0" t="0" r="13335" b="52070"/>
            <wp:docPr id="266" name="图表 266"/>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0475845&quot;,&quot;origin&quot;:0,&quot;type&quot;:&quot;charts&quot;,&quot;user&quot;:&quot;1432723455&quot;}"/>
                  </s:tag>
                </a:ext>
              </a:extLs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图2-1  2023届毕业生不同性别规模</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2"/>
          <w:numId w:val="12"/>
        </w:numPr>
        <w:shd w:val="clear" w:color="auto" w:fill="FFFFFF"/>
        <w:spacing w:before="15" w:after="15" w:line="360" w:lineRule="auto"/>
        <w:jc w:val="left"/>
        <w:outlineLvl w:val="2"/>
        <w:rPr>
          <w:rFonts w:hint="default" w:ascii="Times New Roman" w:hAnsi="Times New Roman" w:cs="Times New Roman"/>
        </w:rPr>
      </w:pPr>
      <w:bookmarkStart w:id="12" w:name="_Toc14022"/>
      <w:r>
        <w:rPr>
          <w:rFonts w:hint="default" w:ascii="Times New Roman" w:hAnsi="Times New Roman" w:eastAsia="黑体" w:cs="Times New Roman"/>
          <w:b/>
          <w:color w:val="0F6FC6"/>
          <w:sz w:val="28"/>
          <w:u w:color="auto"/>
        </w:rPr>
        <w:t>（二）</w:t>
      </w:r>
      <w:r>
        <w:rPr>
          <w:rFonts w:hint="eastAsia" w:eastAsia="黑体" w:cs="Times New Roman"/>
          <w:b/>
          <w:color w:val="0F6FC6"/>
          <w:sz w:val="28"/>
          <w:u w:color="auto"/>
          <w:lang w:val="en-US" w:eastAsia="zh-CN"/>
        </w:rPr>
        <w:t>系</w:t>
      </w:r>
      <w:r>
        <w:rPr>
          <w:rFonts w:hint="default" w:ascii="Times New Roman" w:hAnsi="Times New Roman" w:eastAsia="黑体" w:cs="Times New Roman"/>
          <w:b/>
          <w:color w:val="0F6FC6"/>
          <w:sz w:val="28"/>
          <w:u w:color="auto"/>
        </w:rPr>
        <w:t>结构</w:t>
      </w:r>
      <w:bookmarkEnd w:id="1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学校2023届毕业生分布在17个</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。其中，人数最多的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为中文系，人数为490人（占比10.51%）。</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表2-1  2023届毕业生的各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970"/>
        <w:gridCol w:w="2970"/>
        <w:gridCol w:w="3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65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165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各</w:t>
            </w:r>
            <w:r>
              <w:rPr>
                <w:rFonts w:hint="eastAsia" w:cs="Times New Roman"/>
                <w:b/>
                <w:color w:val="FFFFFF"/>
                <w:sz w:val="22"/>
                <w:u w:color="auto"/>
                <w:lang w:val="en-US" w:eastAsia="zh-CN"/>
              </w:rPr>
              <w:t>系</w:t>
            </w:r>
            <w:r>
              <w:rPr>
                <w:rFonts w:hint="default" w:ascii="Times New Roman" w:hAnsi="Times New Roman" w:eastAsia="宋体" w:cs="Times New Roman"/>
                <w:b/>
                <w:color w:val="FFFFFF"/>
                <w:sz w:val="22"/>
                <w:u w:color="auto"/>
              </w:rPr>
              <w:t>人数</w:t>
            </w:r>
          </w:p>
        </w:tc>
        <w:tc>
          <w:tcPr>
            <w:tcW w:w="17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各</w:t>
            </w:r>
            <w:r>
              <w:rPr>
                <w:rFonts w:hint="eastAsia" w:cs="Times New Roman"/>
                <w:b/>
                <w:color w:val="FFFFFF"/>
                <w:sz w:val="22"/>
                <w:u w:color="auto"/>
                <w:lang w:val="en-US" w:eastAsia="zh-CN"/>
              </w:rPr>
              <w:t>系</w:t>
            </w:r>
            <w:r>
              <w:rPr>
                <w:rFonts w:hint="default" w:ascii="Times New Roman" w:hAnsi="Times New Roman" w:eastAsia="宋体" w:cs="Times New Roman"/>
                <w:b/>
                <w:color w:val="FFFFFF"/>
                <w:sz w:val="22"/>
                <w:u w:color="auto"/>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中文系</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490</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机械系</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452</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经济管理系</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407</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美术系</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379</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数学系</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343</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教育科学与技术系</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291</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生物科学与技术系</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288</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音乐系</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275</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5.9</w:t>
            </w:r>
            <w:r>
              <w:rPr>
                <w:rFonts w:hint="eastAsia" w:cs="Times New Roman"/>
                <w:i w:val="0"/>
                <w:iCs w:val="0"/>
                <w:color w:val="000000"/>
                <w:kern w:val="0"/>
                <w:sz w:val="22"/>
                <w:szCs w:val="22"/>
                <w:u w:val="none"/>
                <w:lang w:val="en-US" w:eastAsia="zh-CN" w:bidi="ar"/>
              </w:rPr>
              <w:t>0</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体育系</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267</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信息技术与工程系</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261</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5.6</w:t>
            </w:r>
            <w:r>
              <w:rPr>
                <w:rFonts w:hint="eastAsia" w:cs="Times New Roman"/>
                <w:i w:val="0"/>
                <w:iCs w:val="0"/>
                <w:color w:val="000000"/>
                <w:kern w:val="0"/>
                <w:sz w:val="22"/>
                <w:szCs w:val="22"/>
                <w:u w:val="none"/>
                <w:lang w:val="en-US" w:eastAsia="zh-CN" w:bidi="ar"/>
              </w:rPr>
              <w:t>0</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外语系</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260</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旅游管理系</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252</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w:t>
            </w:r>
            <w:r>
              <w:rPr>
                <w:rFonts w:hint="eastAsia" w:cs="Times New Roman"/>
                <w:i w:val="0"/>
                <w:iCs w:val="0"/>
                <w:color w:val="000000"/>
                <w:kern w:val="0"/>
                <w:sz w:val="22"/>
                <w:szCs w:val="22"/>
                <w:u w:val="none"/>
                <w:lang w:val="en-US" w:eastAsia="zh-CN" w:bidi="ar"/>
              </w:rPr>
              <w:t>0</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化学化工系</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215</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马克思主义学院(筹)</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物理与电子工程系</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169</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材料科学与工程系</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文化产业系</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0.88%</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2"/>
          <w:numId w:val="13"/>
        </w:numPr>
        <w:shd w:val="clear" w:color="auto" w:fill="FFFFFF"/>
        <w:spacing w:before="15" w:after="15" w:line="360" w:lineRule="auto"/>
        <w:jc w:val="left"/>
        <w:outlineLvl w:val="2"/>
        <w:rPr>
          <w:rFonts w:hint="default" w:ascii="Times New Roman" w:hAnsi="Times New Roman" w:cs="Times New Roman"/>
        </w:rPr>
      </w:pPr>
      <w:bookmarkStart w:id="13" w:name="_Toc17175"/>
      <w:r>
        <w:rPr>
          <w:rFonts w:hint="default" w:ascii="Times New Roman" w:hAnsi="Times New Roman" w:eastAsia="黑体" w:cs="Times New Roman"/>
          <w:b/>
          <w:color w:val="0F6FC6"/>
          <w:sz w:val="28"/>
          <w:u w:color="auto"/>
        </w:rPr>
        <w:t>（三）专业结构</w:t>
      </w:r>
      <w:bookmarkEnd w:id="1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学校2023届毕业生分布在48个专业，其中，汉语言文学专业人数最多，为243人，占比5.21%。</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表2-2  2023届毕业生的各专业分布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970"/>
        <w:gridCol w:w="2970"/>
        <w:gridCol w:w="3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649"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1649"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各专业人数</w:t>
            </w:r>
          </w:p>
        </w:tc>
        <w:tc>
          <w:tcPr>
            <w:tcW w:w="17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各专业比例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216</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209</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198</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186</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172</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161</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159</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151</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140</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124</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113</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107</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104</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77</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74</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74</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58</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49</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16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w:t>
            </w:r>
          </w:p>
        </w:tc>
        <w:tc>
          <w:tcPr>
            <w:tcW w:w="17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16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w:t>
            </w:r>
          </w:p>
        </w:tc>
        <w:tc>
          <w:tcPr>
            <w:tcW w:w="17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jc w:val="center"/>
              <w:rPr>
                <w:rFonts w:hint="default" w:ascii="Times New Roman" w:hAnsi="Times New Roman" w:eastAsia="宋体" w:cs="Times New Roman"/>
                <w:color w:val="000000"/>
                <w:sz w:val="22"/>
                <w:u w:color="auto"/>
              </w:rPr>
            </w:pPr>
            <w:r>
              <w:rPr>
                <w:rFonts w:hint="eastAsia" w:ascii="Times New Roman" w:hAnsi="Times New Roman" w:eastAsia="宋体" w:cs="Times New Roman"/>
                <w:color w:val="000000"/>
                <w:sz w:val="22"/>
                <w:u w:color="auto"/>
                <w:lang w:val="en-US" w:eastAsia="zh-CN"/>
              </w:rPr>
              <w:t>行政管理</w:t>
            </w:r>
          </w:p>
        </w:tc>
        <w:tc>
          <w:tcPr>
            <w:tcW w:w="2970" w:type="dxa"/>
            <w:shd w:val="clear" w:color="auto" w:fill="C7E2FA"/>
            <w:vAlign w:val="center"/>
          </w:tcPr>
          <w:p>
            <w:pPr>
              <w:jc w:val="center"/>
              <w:rPr>
                <w:rFonts w:hint="default" w:ascii="Times New Roman" w:hAnsi="Times New Roman" w:eastAsia="宋体" w:cs="Times New Roman"/>
                <w:color w:val="000000"/>
                <w:sz w:val="22"/>
                <w:u w:color="auto"/>
              </w:rPr>
            </w:pPr>
            <w:r>
              <w:rPr>
                <w:rFonts w:hint="eastAsia" w:ascii="Times New Roman" w:hAnsi="Times New Roman" w:eastAsia="宋体" w:cs="Times New Roman"/>
                <w:color w:val="000000"/>
                <w:sz w:val="22"/>
                <w:u w:color="auto"/>
                <w:lang w:val="en-US" w:eastAsia="zh-CN"/>
              </w:rPr>
              <w:t>2</w:t>
            </w:r>
          </w:p>
        </w:tc>
        <w:tc>
          <w:tcPr>
            <w:tcW w:w="3061" w:type="dxa"/>
            <w:shd w:val="clear" w:color="auto" w:fill="C7E2FA"/>
            <w:vAlign w:val="center"/>
          </w:tcPr>
          <w:p>
            <w:pPr>
              <w:jc w:val="center"/>
              <w:rPr>
                <w:rFonts w:hint="default" w:ascii="Times New Roman" w:hAnsi="Times New Roman" w:eastAsia="宋体" w:cs="Times New Roman"/>
                <w:color w:val="000000"/>
                <w:sz w:val="22"/>
                <w:u w:color="auto"/>
              </w:rPr>
            </w:pPr>
            <w:r>
              <w:rPr>
                <w:rFonts w:hint="eastAsia" w:ascii="Times New Roman" w:hAnsi="Times New Roman" w:eastAsia="宋体" w:cs="Times New Roman"/>
                <w:color w:val="000000"/>
                <w:sz w:val="22"/>
                <w:u w:color="auto"/>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jc w:val="center"/>
              <w:rPr>
                <w:rFonts w:hint="default" w:ascii="Times New Roman" w:hAnsi="Times New Roman" w:eastAsia="宋体" w:cs="Times New Roman"/>
                <w:color w:val="000000"/>
                <w:sz w:val="22"/>
                <w:u w:color="auto"/>
              </w:rPr>
            </w:pPr>
            <w:r>
              <w:rPr>
                <w:rFonts w:hint="eastAsia" w:ascii="Times New Roman" w:hAnsi="Times New Roman" w:eastAsia="宋体" w:cs="Times New Roman"/>
                <w:color w:val="000000"/>
                <w:sz w:val="22"/>
                <w:u w:color="auto"/>
                <w:lang w:val="en-US" w:eastAsia="zh-CN"/>
              </w:rPr>
              <w:t>历史学</w:t>
            </w:r>
          </w:p>
        </w:tc>
        <w:tc>
          <w:tcPr>
            <w:tcW w:w="2970" w:type="dxa"/>
            <w:vAlign w:val="center"/>
          </w:tcPr>
          <w:p>
            <w:pPr>
              <w:jc w:val="center"/>
              <w:rPr>
                <w:rFonts w:hint="default" w:ascii="Times New Roman" w:hAnsi="Times New Roman" w:eastAsia="宋体" w:cs="Times New Roman"/>
                <w:color w:val="000000"/>
                <w:sz w:val="22"/>
                <w:u w:color="auto"/>
              </w:rPr>
            </w:pPr>
            <w:r>
              <w:rPr>
                <w:rFonts w:hint="eastAsia" w:ascii="Times New Roman" w:hAnsi="Times New Roman" w:eastAsia="宋体" w:cs="Times New Roman"/>
                <w:color w:val="000000"/>
                <w:sz w:val="22"/>
                <w:u w:color="auto"/>
                <w:lang w:val="en-US" w:eastAsia="zh-CN"/>
              </w:rPr>
              <w:t>2</w:t>
            </w:r>
          </w:p>
        </w:tc>
        <w:tc>
          <w:tcPr>
            <w:tcW w:w="3061" w:type="dxa"/>
            <w:vAlign w:val="center"/>
          </w:tcPr>
          <w:p>
            <w:pPr>
              <w:jc w:val="center"/>
              <w:rPr>
                <w:rFonts w:hint="default" w:ascii="Times New Roman" w:hAnsi="Times New Roman" w:eastAsia="宋体" w:cs="Times New Roman"/>
                <w:color w:val="000000"/>
                <w:sz w:val="22"/>
                <w:u w:color="auto"/>
              </w:rPr>
            </w:pPr>
            <w:r>
              <w:rPr>
                <w:rFonts w:hint="eastAsia" w:ascii="Times New Roman" w:hAnsi="Times New Roman" w:eastAsia="宋体" w:cs="Times New Roman"/>
                <w:color w:val="000000"/>
                <w:sz w:val="22"/>
                <w:u w:color="auto"/>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jc w:val="center"/>
              <w:rPr>
                <w:rFonts w:hint="default" w:ascii="Times New Roman" w:hAnsi="Times New Roman" w:eastAsia="宋体" w:cs="Times New Roman"/>
                <w:color w:val="000000"/>
                <w:sz w:val="22"/>
                <w:u w:color="auto"/>
              </w:rPr>
            </w:pPr>
            <w:r>
              <w:rPr>
                <w:rFonts w:hint="eastAsia" w:ascii="Times New Roman" w:hAnsi="Times New Roman" w:eastAsia="宋体" w:cs="Times New Roman"/>
                <w:color w:val="000000"/>
                <w:sz w:val="22"/>
                <w:u w:color="auto"/>
                <w:lang w:val="en-US" w:eastAsia="zh-CN"/>
              </w:rPr>
              <w:t>音乐表演</w:t>
            </w:r>
          </w:p>
        </w:tc>
        <w:tc>
          <w:tcPr>
            <w:tcW w:w="2970" w:type="dxa"/>
            <w:shd w:val="clear" w:color="auto" w:fill="C7E2FA"/>
            <w:vAlign w:val="center"/>
          </w:tcPr>
          <w:p>
            <w:pPr>
              <w:jc w:val="center"/>
              <w:rPr>
                <w:rFonts w:hint="default" w:ascii="Times New Roman" w:hAnsi="Times New Roman" w:eastAsia="宋体" w:cs="Times New Roman"/>
                <w:color w:val="000000"/>
                <w:sz w:val="22"/>
                <w:u w:color="auto"/>
              </w:rPr>
            </w:pPr>
            <w:r>
              <w:rPr>
                <w:rFonts w:hint="eastAsia" w:ascii="Times New Roman" w:hAnsi="Times New Roman" w:eastAsia="宋体" w:cs="Times New Roman"/>
                <w:color w:val="000000"/>
                <w:sz w:val="22"/>
                <w:u w:color="auto"/>
                <w:lang w:val="en-US" w:eastAsia="zh-CN"/>
              </w:rPr>
              <w:t>1</w:t>
            </w:r>
          </w:p>
        </w:tc>
        <w:tc>
          <w:tcPr>
            <w:tcW w:w="3061" w:type="dxa"/>
            <w:shd w:val="clear" w:color="auto" w:fill="C7E2FA"/>
            <w:vAlign w:val="center"/>
          </w:tcPr>
          <w:p>
            <w:pPr>
              <w:jc w:val="center"/>
              <w:rPr>
                <w:rFonts w:hint="default" w:ascii="Times New Roman" w:hAnsi="Times New Roman" w:eastAsia="宋体" w:cs="Times New Roman"/>
                <w:color w:val="000000"/>
                <w:sz w:val="22"/>
                <w:u w:color="auto"/>
              </w:rPr>
            </w:pPr>
            <w:r>
              <w:rPr>
                <w:rFonts w:hint="eastAsia" w:ascii="Times New Roman" w:hAnsi="Times New Roman" w:eastAsia="宋体" w:cs="Times New Roman"/>
                <w:color w:val="000000"/>
                <w:sz w:val="22"/>
                <w:u w:color="auto"/>
                <w:lang w:val="en-US" w:eastAsia="zh-CN"/>
              </w:rPr>
              <w:t>0.02%</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2"/>
          <w:numId w:val="14"/>
        </w:numPr>
        <w:shd w:val="clear" w:color="auto" w:fill="FFFFFF"/>
        <w:spacing w:before="15" w:after="15" w:line="360" w:lineRule="auto"/>
        <w:jc w:val="left"/>
        <w:outlineLvl w:val="2"/>
        <w:rPr>
          <w:rFonts w:hint="default" w:ascii="Times New Roman" w:hAnsi="Times New Roman" w:cs="Times New Roman"/>
        </w:rPr>
      </w:pPr>
      <w:bookmarkStart w:id="14" w:name="_Toc18184"/>
      <w:r>
        <w:rPr>
          <w:rFonts w:hint="default" w:ascii="Times New Roman" w:hAnsi="Times New Roman" w:eastAsia="黑体" w:cs="Times New Roman"/>
          <w:b/>
          <w:color w:val="0F6FC6"/>
          <w:sz w:val="28"/>
          <w:u w:color="auto"/>
        </w:rPr>
        <w:t>（四）生源结构</w:t>
      </w:r>
      <w:bookmarkEnd w:id="1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学校2023届毕业生来自全国26个省（直辖市/自治区）。其中，以山西省省内生源为主，人数为3966人，占比85.03%；省外生源主要来自河北省（54人、1.16%）、河南省（53人、1.14%）和山东省（44人、0.94%）。</w:t>
      </w:r>
    </w:p>
    <w:tbl>
      <w:tblPr>
        <w:tblStyle w:val="1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48"/>
        <w:gridCol w:w="1987"/>
        <w:gridCol w:w="2187"/>
        <w:gridCol w:w="27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6" w:hRule="atLeast"/>
          <w:jc w:val="center"/>
        </w:trPr>
        <w:tc>
          <w:tcPr>
            <w:tcW w:w="1137" w:type="pct"/>
            <w:tcBorders>
              <w:tl2br w:val="nil"/>
              <w:tr2bl w:val="nil"/>
            </w:tcBorders>
            <w:vAlign w:val="center"/>
          </w:tcPr>
          <w:p>
            <w:pPr>
              <w:jc w:val="center"/>
              <w:rPr>
                <w:rFonts w:hint="eastAsia" w:ascii="Times New Roman" w:hAnsi="Times New Roman" w:eastAsia="宋体"/>
                <w:highlight w:val="none"/>
                <w:vertAlign w:val="baseline"/>
                <w:lang w:eastAsia="zh-CN"/>
              </w:rPr>
            </w:pPr>
            <w:r>
              <w:drawing>
                <wp:inline distT="0" distB="0" distL="114300" distR="114300">
                  <wp:extent cx="742315" cy="1433830"/>
                  <wp:effectExtent l="0" t="0" r="635" b="13970"/>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36"/>
                          <a:stretch>
                            <a:fillRect/>
                          </a:stretch>
                        </pic:blipFill>
                        <pic:spPr>
                          <a:xfrm>
                            <a:off x="0" y="0"/>
                            <a:ext cx="742315" cy="1433830"/>
                          </a:xfrm>
                          <a:prstGeom prst="rect">
                            <a:avLst/>
                          </a:prstGeom>
                          <a:noFill/>
                          <a:ln>
                            <a:noFill/>
                          </a:ln>
                        </pic:spPr>
                      </pic:pic>
                    </a:graphicData>
                  </a:graphic>
                </wp:inline>
              </w:drawing>
            </w:r>
          </w:p>
        </w:tc>
        <w:tc>
          <w:tcPr>
            <w:tcW w:w="1103" w:type="pct"/>
            <w:tcBorders>
              <w:tl2br w:val="nil"/>
              <w:tr2bl w:val="nil"/>
            </w:tcBorders>
            <w:vAlign w:val="center"/>
          </w:tcPr>
          <w:p>
            <w:pPr>
              <w:jc w:val="center"/>
              <w:rPr>
                <w:rFonts w:hint="eastAsia" w:ascii="Times New Roman" w:hAnsi="Times New Roman" w:eastAsia="宋体"/>
                <w:highlight w:val="none"/>
                <w:vertAlign w:val="baseline"/>
                <w:lang w:eastAsia="zh-CN"/>
              </w:rPr>
            </w:pPr>
            <w:r>
              <w:drawing>
                <wp:inline distT="0" distB="0" distL="114300" distR="114300">
                  <wp:extent cx="955040" cy="1321435"/>
                  <wp:effectExtent l="0" t="0" r="16510" b="12065"/>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37"/>
                          <a:stretch>
                            <a:fillRect/>
                          </a:stretch>
                        </pic:blipFill>
                        <pic:spPr>
                          <a:xfrm>
                            <a:off x="0" y="0"/>
                            <a:ext cx="955040" cy="1321435"/>
                          </a:xfrm>
                          <a:prstGeom prst="rect">
                            <a:avLst/>
                          </a:prstGeom>
                          <a:noFill/>
                          <a:ln>
                            <a:noFill/>
                          </a:ln>
                        </pic:spPr>
                      </pic:pic>
                    </a:graphicData>
                  </a:graphic>
                </wp:inline>
              </w:drawing>
            </w:r>
          </w:p>
        </w:tc>
        <w:tc>
          <w:tcPr>
            <w:tcW w:w="1214" w:type="pct"/>
            <w:tcBorders>
              <w:tl2br w:val="nil"/>
              <w:tr2bl w:val="nil"/>
            </w:tcBorders>
            <w:vAlign w:val="center"/>
          </w:tcPr>
          <w:p>
            <w:pPr>
              <w:jc w:val="center"/>
              <w:rPr>
                <w:rFonts w:hint="eastAsia" w:ascii="Times New Roman" w:hAnsi="Times New Roman" w:eastAsia="宋体" w:cs="Times New Roman"/>
                <w:sz w:val="21"/>
                <w:szCs w:val="22"/>
                <w:highlight w:val="none"/>
                <w:vertAlign w:val="baseline"/>
                <w:lang w:eastAsia="zh-CN"/>
              </w:rPr>
            </w:pPr>
            <w:r>
              <w:drawing>
                <wp:inline distT="0" distB="0" distL="114300" distR="114300">
                  <wp:extent cx="1109345" cy="1088390"/>
                  <wp:effectExtent l="0" t="0" r="14605" b="1651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38"/>
                          <a:stretch>
                            <a:fillRect/>
                          </a:stretch>
                        </pic:blipFill>
                        <pic:spPr>
                          <a:xfrm>
                            <a:off x="0" y="0"/>
                            <a:ext cx="1109345" cy="1088390"/>
                          </a:xfrm>
                          <a:prstGeom prst="rect">
                            <a:avLst/>
                          </a:prstGeom>
                          <a:noFill/>
                          <a:ln>
                            <a:noFill/>
                          </a:ln>
                        </pic:spPr>
                      </pic:pic>
                    </a:graphicData>
                  </a:graphic>
                </wp:inline>
              </w:drawing>
            </w:r>
          </w:p>
        </w:tc>
        <w:tc>
          <w:tcPr>
            <w:tcW w:w="1543" w:type="pct"/>
            <w:tcBorders>
              <w:tl2br w:val="nil"/>
              <w:tr2bl w:val="nil"/>
            </w:tcBorders>
            <w:vAlign w:val="center"/>
          </w:tcPr>
          <w:p>
            <w:pPr>
              <w:jc w:val="center"/>
              <w:rPr>
                <w:rFonts w:hint="eastAsia" w:ascii="Times New Roman" w:hAnsi="Times New Roman" w:eastAsia="宋体"/>
                <w:highlight w:val="none"/>
                <w:vertAlign w:val="baseline"/>
                <w:lang w:eastAsia="zh-CN"/>
              </w:rPr>
            </w:pPr>
            <w:r>
              <w:drawing>
                <wp:inline distT="0" distB="0" distL="114300" distR="114300">
                  <wp:extent cx="1378585" cy="910590"/>
                  <wp:effectExtent l="0" t="0" r="12065" b="3810"/>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39"/>
                          <a:stretch>
                            <a:fillRect/>
                          </a:stretch>
                        </pic:blipFill>
                        <pic:spPr>
                          <a:xfrm>
                            <a:off x="0" y="0"/>
                            <a:ext cx="1378585" cy="9105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1137" w:type="pct"/>
            <w:tcBorders>
              <w:tl2br w:val="nil"/>
              <w:tr2bl w:val="nil"/>
            </w:tcBorders>
            <w:vAlign w:val="center"/>
          </w:tcPr>
          <w:p>
            <w:pPr>
              <w:jc w:val="center"/>
              <w:rPr>
                <w:rFonts w:hint="default" w:ascii="Times New Roman" w:hAnsi="Times New Roman" w:eastAsia="宋体" w:cs="Times New Roman"/>
                <w:color w:val="70AD47"/>
                <w:highlight w:val="none"/>
                <w:vertAlign w:val="baseline"/>
                <w:lang w:val="en-US" w:eastAsia="zh-CN"/>
              </w:rPr>
            </w:pPr>
            <w:r>
              <w:rPr>
                <w:rFonts w:hint="eastAsia" w:cs="Times New Roman"/>
                <w:b/>
                <w:bCs/>
                <w:color w:val="4F81BD" w:themeColor="accent1"/>
                <w:sz w:val="24"/>
                <w:szCs w:val="28"/>
                <w:highlight w:val="none"/>
                <w:vertAlign w:val="baseline"/>
                <w:lang w:val="en-US" w:eastAsia="zh-CN"/>
                <w14:textFill>
                  <w14:solidFill>
                    <w14:schemeClr w14:val="accent1"/>
                  </w14:solidFill>
                </w14:textFill>
              </w:rPr>
              <w:t>3966</w:t>
            </w:r>
            <w:r>
              <w:rPr>
                <w:rFonts w:hint="default" w:ascii="Times New Roman" w:hAnsi="Times New Roman" w:eastAsia="宋体" w:cs="Times New Roman"/>
                <w:b/>
                <w:bCs/>
                <w:color w:val="4F81BD" w:themeColor="accent1"/>
                <w:sz w:val="24"/>
                <w:szCs w:val="28"/>
                <w:highlight w:val="none"/>
                <w:vertAlign w:val="baseline"/>
                <w:lang w:val="en-US" w:eastAsia="zh-CN"/>
                <w14:textFill>
                  <w14:solidFill>
                    <w14:schemeClr w14:val="accent1"/>
                  </w14:solidFill>
                </w14:textFill>
              </w:rPr>
              <w:t>人，</w:t>
            </w:r>
            <w:r>
              <w:rPr>
                <w:rFonts w:hint="eastAsia" w:cs="Times New Roman"/>
                <w:b/>
                <w:bCs/>
                <w:color w:val="4F81BD" w:themeColor="accent1"/>
                <w:sz w:val="24"/>
                <w:szCs w:val="28"/>
                <w:highlight w:val="none"/>
                <w:vertAlign w:val="baseline"/>
                <w:lang w:val="en-US" w:eastAsia="zh-CN"/>
                <w14:textFill>
                  <w14:solidFill>
                    <w14:schemeClr w14:val="accent1"/>
                  </w14:solidFill>
                </w14:textFill>
              </w:rPr>
              <w:t>85.03</w:t>
            </w:r>
            <w:r>
              <w:rPr>
                <w:rFonts w:hint="default" w:ascii="Times New Roman" w:hAnsi="Times New Roman" w:eastAsia="宋体" w:cs="Times New Roman"/>
                <w:b/>
                <w:bCs/>
                <w:color w:val="4F81BD" w:themeColor="accent1"/>
                <w:sz w:val="24"/>
                <w:szCs w:val="28"/>
                <w:highlight w:val="none"/>
                <w:vertAlign w:val="baseline"/>
                <w:lang w:val="en-US" w:eastAsia="zh-CN"/>
                <w14:textFill>
                  <w14:solidFill>
                    <w14:schemeClr w14:val="accent1"/>
                  </w14:solidFill>
                </w14:textFill>
              </w:rPr>
              <w:t>%</w:t>
            </w:r>
          </w:p>
        </w:tc>
        <w:tc>
          <w:tcPr>
            <w:tcW w:w="1103" w:type="pct"/>
            <w:tcBorders>
              <w:tl2br w:val="nil"/>
              <w:tr2bl w:val="nil"/>
            </w:tcBorders>
            <w:vAlign w:val="center"/>
          </w:tcPr>
          <w:p>
            <w:pPr>
              <w:jc w:val="center"/>
              <w:rPr>
                <w:rFonts w:hint="default" w:ascii="Times New Roman" w:hAnsi="Times New Roman" w:eastAsia="宋体" w:cs="Times New Roman"/>
                <w:color w:val="70AD47"/>
                <w:highlight w:val="none"/>
                <w:vertAlign w:val="baseline"/>
                <w:lang w:val="en-US" w:eastAsia="zh-CN"/>
              </w:rPr>
            </w:pPr>
            <w:r>
              <w:rPr>
                <w:rFonts w:hint="eastAsia" w:cs="Times New Roman"/>
                <w:b/>
                <w:bCs/>
                <w:color w:val="4F81BD" w:themeColor="accent1"/>
                <w:sz w:val="24"/>
                <w:szCs w:val="24"/>
                <w:highlight w:val="none"/>
                <w:vertAlign w:val="baseline"/>
                <w:lang w:val="en-US" w:eastAsia="zh-CN"/>
                <w14:textFill>
                  <w14:solidFill>
                    <w14:schemeClr w14:val="accent1"/>
                  </w14:solidFill>
                </w14:textFill>
              </w:rPr>
              <w:t>54</w:t>
            </w:r>
            <w:r>
              <w:rPr>
                <w:rFonts w:hint="default" w:ascii="Times New Roman" w:hAnsi="Times New Roman" w:eastAsia="宋体" w:cs="Times New Roman"/>
                <w:b/>
                <w:bCs/>
                <w:color w:val="4F81BD" w:themeColor="accent1"/>
                <w:sz w:val="24"/>
                <w:szCs w:val="24"/>
                <w:highlight w:val="none"/>
                <w:vertAlign w:val="baseline"/>
                <w:lang w:val="en-US" w:eastAsia="zh-CN"/>
                <w14:textFill>
                  <w14:solidFill>
                    <w14:schemeClr w14:val="accent1"/>
                  </w14:solidFill>
                </w14:textFill>
              </w:rPr>
              <w:t>人，</w:t>
            </w:r>
            <w:r>
              <w:rPr>
                <w:rFonts w:hint="eastAsia" w:cs="Times New Roman"/>
                <w:b/>
                <w:bCs/>
                <w:color w:val="4F81BD" w:themeColor="accent1"/>
                <w:sz w:val="24"/>
                <w:szCs w:val="24"/>
                <w:highlight w:val="none"/>
                <w:vertAlign w:val="baseline"/>
                <w:lang w:val="en-US" w:eastAsia="zh-CN"/>
                <w14:textFill>
                  <w14:solidFill>
                    <w14:schemeClr w14:val="accent1"/>
                  </w14:solidFill>
                </w14:textFill>
              </w:rPr>
              <w:t>1.16</w:t>
            </w:r>
            <w:r>
              <w:rPr>
                <w:rFonts w:hint="default" w:ascii="Times New Roman" w:hAnsi="Times New Roman" w:eastAsia="宋体" w:cs="Times New Roman"/>
                <w:b/>
                <w:bCs/>
                <w:color w:val="4F81BD" w:themeColor="accent1"/>
                <w:sz w:val="24"/>
                <w:szCs w:val="24"/>
                <w:highlight w:val="none"/>
                <w:vertAlign w:val="baseline"/>
                <w:lang w:val="en-US" w:eastAsia="zh-CN"/>
                <w14:textFill>
                  <w14:solidFill>
                    <w14:schemeClr w14:val="accent1"/>
                  </w14:solidFill>
                </w14:textFill>
              </w:rPr>
              <w:t>%</w:t>
            </w:r>
          </w:p>
        </w:tc>
        <w:tc>
          <w:tcPr>
            <w:tcW w:w="1214" w:type="pct"/>
            <w:tcBorders>
              <w:tl2br w:val="nil"/>
              <w:tr2bl w:val="nil"/>
            </w:tcBorders>
            <w:vAlign w:val="center"/>
          </w:tcPr>
          <w:p>
            <w:pPr>
              <w:jc w:val="center"/>
              <w:rPr>
                <w:rFonts w:hint="default" w:ascii="Times New Roman" w:hAnsi="Times New Roman" w:eastAsia="宋体" w:cs="Times New Roman"/>
                <w:color w:val="70AD47"/>
                <w:sz w:val="21"/>
                <w:szCs w:val="22"/>
                <w:highlight w:val="none"/>
                <w:vertAlign w:val="baseline"/>
                <w:lang w:val="en-US" w:eastAsia="zh-CN"/>
              </w:rPr>
            </w:pPr>
            <w:r>
              <w:rPr>
                <w:rFonts w:hint="eastAsia" w:cs="Times New Roman"/>
                <w:b/>
                <w:bCs/>
                <w:color w:val="4F81BD" w:themeColor="accent1"/>
                <w:sz w:val="24"/>
                <w:szCs w:val="24"/>
                <w:highlight w:val="none"/>
                <w:vertAlign w:val="baseline"/>
                <w:lang w:val="en-US" w:eastAsia="zh-CN"/>
                <w14:textFill>
                  <w14:solidFill>
                    <w14:schemeClr w14:val="accent1"/>
                  </w14:solidFill>
                </w14:textFill>
              </w:rPr>
              <w:t>53</w:t>
            </w:r>
            <w:r>
              <w:rPr>
                <w:rFonts w:hint="default" w:ascii="Times New Roman" w:hAnsi="Times New Roman" w:eastAsia="宋体" w:cs="Times New Roman"/>
                <w:b/>
                <w:bCs/>
                <w:color w:val="4F81BD" w:themeColor="accent1"/>
                <w:sz w:val="24"/>
                <w:szCs w:val="24"/>
                <w:highlight w:val="none"/>
                <w:vertAlign w:val="baseline"/>
                <w:lang w:val="en-US" w:eastAsia="zh-CN"/>
                <w14:textFill>
                  <w14:solidFill>
                    <w14:schemeClr w14:val="accent1"/>
                  </w14:solidFill>
                </w14:textFill>
              </w:rPr>
              <w:t>人，</w:t>
            </w:r>
            <w:r>
              <w:rPr>
                <w:rFonts w:hint="eastAsia" w:cs="Times New Roman"/>
                <w:b/>
                <w:bCs/>
                <w:color w:val="4F81BD" w:themeColor="accent1"/>
                <w:sz w:val="24"/>
                <w:szCs w:val="24"/>
                <w:highlight w:val="none"/>
                <w:vertAlign w:val="baseline"/>
                <w:lang w:val="en-US" w:eastAsia="zh-CN"/>
                <w14:textFill>
                  <w14:solidFill>
                    <w14:schemeClr w14:val="accent1"/>
                  </w14:solidFill>
                </w14:textFill>
              </w:rPr>
              <w:t>1.14</w:t>
            </w:r>
            <w:r>
              <w:rPr>
                <w:rFonts w:hint="default" w:ascii="Times New Roman" w:hAnsi="Times New Roman" w:eastAsia="宋体" w:cs="Times New Roman"/>
                <w:b/>
                <w:bCs/>
                <w:color w:val="4F81BD" w:themeColor="accent1"/>
                <w:sz w:val="24"/>
                <w:szCs w:val="24"/>
                <w:highlight w:val="none"/>
                <w:vertAlign w:val="baseline"/>
                <w:lang w:val="en-US" w:eastAsia="zh-CN"/>
                <w14:textFill>
                  <w14:solidFill>
                    <w14:schemeClr w14:val="accent1"/>
                  </w14:solidFill>
                </w14:textFill>
              </w:rPr>
              <w:t>%</w:t>
            </w:r>
          </w:p>
        </w:tc>
        <w:tc>
          <w:tcPr>
            <w:tcW w:w="1543" w:type="pct"/>
            <w:tcBorders>
              <w:tl2br w:val="nil"/>
              <w:tr2bl w:val="nil"/>
            </w:tcBorders>
            <w:vAlign w:val="center"/>
          </w:tcPr>
          <w:p>
            <w:pPr>
              <w:jc w:val="center"/>
              <w:rPr>
                <w:rFonts w:hint="default" w:ascii="Times New Roman" w:hAnsi="Times New Roman" w:eastAsia="宋体" w:cs="Times New Roman"/>
                <w:color w:val="70AD47"/>
                <w:highlight w:val="none"/>
                <w:vertAlign w:val="baseline"/>
              </w:rPr>
            </w:pPr>
            <w:r>
              <w:rPr>
                <w:rFonts w:hint="eastAsia" w:cs="Times New Roman"/>
                <w:b/>
                <w:bCs/>
                <w:color w:val="4F81BD" w:themeColor="accent1"/>
                <w:sz w:val="24"/>
                <w:szCs w:val="24"/>
                <w:highlight w:val="none"/>
                <w:vertAlign w:val="baseline"/>
                <w:lang w:val="en-US" w:eastAsia="zh-CN"/>
                <w14:textFill>
                  <w14:solidFill>
                    <w14:schemeClr w14:val="accent1"/>
                  </w14:solidFill>
                </w14:textFill>
              </w:rPr>
              <w:t>44</w:t>
            </w:r>
            <w:r>
              <w:rPr>
                <w:rFonts w:hint="default" w:ascii="Times New Roman" w:hAnsi="Times New Roman" w:eastAsia="宋体" w:cs="Times New Roman"/>
                <w:b/>
                <w:bCs/>
                <w:color w:val="4F81BD" w:themeColor="accent1"/>
                <w:sz w:val="24"/>
                <w:szCs w:val="24"/>
                <w:highlight w:val="none"/>
                <w:vertAlign w:val="baseline"/>
                <w:lang w:val="en-US" w:eastAsia="zh-CN"/>
                <w14:textFill>
                  <w14:solidFill>
                    <w14:schemeClr w14:val="accent1"/>
                  </w14:solidFill>
                </w14:textFill>
              </w:rPr>
              <w:t>人，</w:t>
            </w:r>
            <w:r>
              <w:rPr>
                <w:rFonts w:hint="eastAsia" w:cs="Times New Roman"/>
                <w:b/>
                <w:bCs/>
                <w:color w:val="4F81BD" w:themeColor="accent1"/>
                <w:sz w:val="24"/>
                <w:szCs w:val="24"/>
                <w:highlight w:val="none"/>
                <w:vertAlign w:val="baseline"/>
                <w:lang w:val="en-US" w:eastAsia="zh-CN"/>
                <w14:textFill>
                  <w14:solidFill>
                    <w14:schemeClr w14:val="accent1"/>
                  </w14:solidFill>
                </w14:textFill>
              </w:rPr>
              <w:t>0.94</w:t>
            </w:r>
            <w:r>
              <w:rPr>
                <w:rFonts w:hint="default" w:ascii="Times New Roman" w:hAnsi="Times New Roman" w:eastAsia="宋体" w:cs="Times New Roman"/>
                <w:b/>
                <w:bCs/>
                <w:color w:val="4F81BD" w:themeColor="accent1"/>
                <w:sz w:val="24"/>
                <w:szCs w:val="24"/>
                <w:highlight w:val="none"/>
                <w:vertAlign w:val="baseline"/>
                <w:lang w:val="en-US" w:eastAsia="zh-CN"/>
                <w14:textFill>
                  <w14:solidFill>
                    <w14:schemeClr w14:val="accent1"/>
                  </w14:solidFill>
                </w14:textFill>
              </w:rPr>
              <w:t>%</w:t>
            </w:r>
          </w:p>
        </w:tc>
      </w:tr>
    </w:tbl>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图2-2  2023届毕业生生源分布</w:t>
      </w:r>
      <w:r>
        <w:rPr>
          <w:rFonts w:hint="eastAsia" w:ascii="宋体" w:hAnsi="宋体" w:eastAsia="宋体" w:cs="宋体"/>
          <w:b/>
          <w:color w:val="0F6FC6"/>
          <w:sz w:val="21"/>
          <w:u w:color="auto"/>
          <w:lang w:eastAsia="zh-CN"/>
        </w:rPr>
        <w:t>（</w:t>
      </w:r>
      <w:r>
        <w:rPr>
          <w:rFonts w:hint="eastAsia" w:ascii="宋体" w:hAnsi="宋体" w:eastAsia="宋体" w:cs="宋体"/>
          <w:b/>
          <w:color w:val="0F6FC6"/>
          <w:sz w:val="21"/>
          <w:u w:color="auto"/>
          <w:lang w:val="en-US" w:eastAsia="zh-CN"/>
        </w:rPr>
        <w:t>前四</w:t>
      </w:r>
      <w:r>
        <w:rPr>
          <w:rFonts w:hint="eastAsia" w:ascii="宋体" w:hAnsi="宋体" w:eastAsia="宋体" w:cs="宋体"/>
          <w:b/>
          <w:color w:val="0F6FC6"/>
          <w:sz w:val="21"/>
          <w:u w:color="auto"/>
          <w:lang w:eastAsia="zh-CN"/>
        </w:rPr>
        <w:t>）</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表2-3  2023届毕业生生源地结构</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970"/>
        <w:gridCol w:w="2970"/>
        <w:gridCol w:w="3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65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生源地</w:t>
            </w:r>
          </w:p>
        </w:tc>
        <w:tc>
          <w:tcPr>
            <w:tcW w:w="165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c>
          <w:tcPr>
            <w:tcW w:w="17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山西省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3966</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河北省</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河南省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山东省</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安徽省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陕西省</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江苏省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湖南省</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云南省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天津市</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甘肃省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海南省</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四川省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重庆市</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吉林省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0.6</w:t>
            </w:r>
            <w:r>
              <w:rPr>
                <w:rFonts w:hint="eastAsia" w:cs="Times New Roman"/>
                <w:i w:val="0"/>
                <w:iCs w:val="0"/>
                <w:color w:val="000000"/>
                <w:kern w:val="0"/>
                <w:sz w:val="22"/>
                <w:szCs w:val="22"/>
                <w:u w:val="none"/>
                <w:lang w:val="en-US" w:eastAsia="zh-CN" w:bidi="ar"/>
              </w:rPr>
              <w:t>0</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辽宁省</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0.6</w:t>
            </w:r>
            <w:r>
              <w:rPr>
                <w:rFonts w:hint="eastAsia" w:cs="Times New Roman"/>
                <w:i w:val="0"/>
                <w:iCs w:val="0"/>
                <w:color w:val="000000"/>
                <w:kern w:val="0"/>
                <w:sz w:val="22"/>
                <w:szCs w:val="22"/>
                <w:u w:val="none"/>
                <w:lang w:val="en-US" w:eastAsia="zh-CN" w:bidi="ar"/>
              </w:rPr>
              <w:t>0</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湖北省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江西省</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广西壮族自治区</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内蒙古自治区</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贵州省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宁夏回族自治区</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黑龙江省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新疆维吾尔自治区</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青海省</w:t>
            </w:r>
          </w:p>
        </w:tc>
        <w:tc>
          <w:tcPr>
            <w:tcW w:w="308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174"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广东省</w:t>
            </w:r>
          </w:p>
        </w:tc>
        <w:tc>
          <w:tcPr>
            <w:tcW w:w="308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174"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0.04%</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1"/>
          <w:numId w:val="15"/>
        </w:numPr>
        <w:shd w:val="clear" w:color="auto" w:fill="FFFFFF"/>
        <w:spacing w:before="15" w:after="15" w:line="360" w:lineRule="auto"/>
        <w:jc w:val="left"/>
        <w:outlineLvl w:val="1"/>
        <w:rPr>
          <w:rFonts w:hint="default" w:ascii="Times New Roman" w:hAnsi="Times New Roman" w:cs="Times New Roman"/>
        </w:rPr>
      </w:pPr>
      <w:bookmarkStart w:id="15" w:name="_Toc3254"/>
      <w:r>
        <w:rPr>
          <w:rFonts w:hint="default" w:ascii="Times New Roman" w:hAnsi="Times New Roman" w:eastAsia="黑体" w:cs="Times New Roman"/>
          <w:b/>
          <w:color w:val="0F6FC6"/>
          <w:sz w:val="30"/>
          <w:u w:color="auto"/>
        </w:rPr>
        <w:t>二、毕业去向落实率及毕业去向分布</w:t>
      </w:r>
      <w:bookmarkEnd w:id="1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毕业去向落实率是反映大学生就业情况和社会对学校毕业生需求程度的重要指标和参考依据，根据教育部发布的《教育部办公厅关于进一步加强和完善高校毕业生就业状况统计报告工作的通知》，高校毕业生的毕业去向落实率的计算公式为：毕业生毕业去向落实率=（已就业毕业生人数÷毕业生总人数）×100.00%。</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eastAsia" w:cs="Times New Roman"/>
          <w:b w:val="0"/>
          <w:color w:val="000000"/>
          <w:sz w:val="24"/>
          <w:u w:color="auto"/>
          <w:lang w:val="en-US" w:eastAsia="zh-CN"/>
        </w:rPr>
        <w:t>截止到2023年8月31日，</w:t>
      </w:r>
      <w:r>
        <w:rPr>
          <w:rFonts w:hint="default" w:ascii="Times New Roman" w:hAnsi="Times New Roman" w:eastAsia="宋体" w:cs="Times New Roman"/>
          <w:b w:val="0"/>
          <w:color w:val="000000"/>
          <w:sz w:val="24"/>
          <w:u w:color="auto"/>
        </w:rPr>
        <w:t>学校2023届毕业生的毕业去向落实率为84.31%，就业人数共3932人。从其去向构成来看，学校2023届毕业生以</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灵活就业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为主（38.81%），</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协议和合同就业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（35.36%）次之。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表2-4  2023届毕业生毕业去向分布</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377"/>
        <w:gridCol w:w="3149"/>
        <w:gridCol w:w="1735"/>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3071" w:type="pct"/>
            <w:gridSpan w:val="2"/>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毕业去向</w:t>
            </w:r>
          </w:p>
        </w:tc>
        <w:tc>
          <w:tcPr>
            <w:tcW w:w="96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c>
          <w:tcPr>
            <w:tcW w:w="96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restart"/>
            <w:shd w:val="clear" w:color="auto" w:fill="auto"/>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协议和合同就业</w:t>
            </w:r>
          </w:p>
        </w:tc>
        <w:tc>
          <w:tcPr>
            <w:tcW w:w="1750"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签就业协议形式就业</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1320</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签劳动合同就业</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191</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科研助理、管理助理</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60</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西部计划</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38</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应征义务兵</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17</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选调生</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10</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地方特岗教师</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6</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其它地方基层</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3</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三支一扶</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2</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国家特岗教师</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乡村教师</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auto"/>
            <w:vAlign w:val="center"/>
          </w:tcPr>
          <w:p>
            <w:pPr>
              <w:jc w:val="center"/>
              <w:rPr>
                <w:rFonts w:hint="default" w:ascii="Times New Roman" w:hAnsi="Times New Roman" w:eastAsia="宋体" w:cs="Times New Roman"/>
                <w:sz w:val="22"/>
                <w:szCs w:val="22"/>
              </w:rPr>
            </w:pPr>
          </w:p>
        </w:tc>
        <w:tc>
          <w:tcPr>
            <w:tcW w:w="1750" w:type="pct"/>
            <w:shd w:val="clear" w:color="auto" w:fill="C7E2FA"/>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小计</w:t>
            </w:r>
          </w:p>
        </w:tc>
        <w:tc>
          <w:tcPr>
            <w:tcW w:w="964" w:type="pct"/>
            <w:shd w:val="clear" w:color="auto" w:fill="C7E2FA"/>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1649</w:t>
            </w:r>
          </w:p>
        </w:tc>
        <w:tc>
          <w:tcPr>
            <w:tcW w:w="964" w:type="pct"/>
            <w:shd w:val="clear" w:color="auto" w:fill="C7E2FA"/>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35.36%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restar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自主创业</w:t>
            </w:r>
          </w:p>
        </w:tc>
        <w:tc>
          <w:tcPr>
            <w:tcW w:w="1750"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自主创业</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83</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C7E2FA"/>
            <w:vAlign w:val="center"/>
          </w:tcPr>
          <w:p>
            <w:pPr>
              <w:jc w:val="center"/>
              <w:rPr>
                <w:rFonts w:hint="default" w:ascii="Times New Roman" w:hAnsi="Times New Roman" w:eastAsia="宋体" w:cs="Times New Roman"/>
                <w:sz w:val="22"/>
                <w:szCs w:val="22"/>
              </w:rPr>
            </w:pPr>
          </w:p>
        </w:tc>
        <w:tc>
          <w:tcPr>
            <w:tcW w:w="1750" w:type="pct"/>
            <w:shd w:val="clear" w:color="auto" w:fill="C7E2FA"/>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小计</w:t>
            </w:r>
          </w:p>
        </w:tc>
        <w:tc>
          <w:tcPr>
            <w:tcW w:w="964" w:type="pct"/>
            <w:shd w:val="clear" w:color="auto" w:fill="C7E2FA"/>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83</w:t>
            </w:r>
          </w:p>
        </w:tc>
        <w:tc>
          <w:tcPr>
            <w:tcW w:w="964" w:type="pct"/>
            <w:shd w:val="clear" w:color="auto" w:fill="C7E2FA"/>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restar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灵活就业</w:t>
            </w:r>
          </w:p>
        </w:tc>
        <w:tc>
          <w:tcPr>
            <w:tcW w:w="1750"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其他录用证明就业</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1015</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C7E2FA"/>
            <w:vAlign w:val="center"/>
          </w:tcPr>
          <w:p>
            <w:pPr>
              <w:jc w:val="center"/>
              <w:rPr>
                <w:rFonts w:hint="default" w:ascii="Times New Roman" w:hAnsi="Times New Roman" w:eastAsia="宋体" w:cs="Times New Roman"/>
                <w:sz w:val="22"/>
                <w:szCs w:val="22"/>
              </w:rPr>
            </w:pPr>
          </w:p>
        </w:tc>
        <w:tc>
          <w:tcPr>
            <w:tcW w:w="1750"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自由职业</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795</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vAlign w:val="center"/>
          </w:tcPr>
          <w:p>
            <w:pPr>
              <w:jc w:val="center"/>
              <w:rPr>
                <w:rFonts w:hint="default" w:ascii="Times New Roman" w:hAnsi="Times New Roman" w:eastAsia="宋体" w:cs="Times New Roman"/>
                <w:sz w:val="22"/>
                <w:szCs w:val="22"/>
              </w:rPr>
            </w:pPr>
          </w:p>
        </w:tc>
        <w:tc>
          <w:tcPr>
            <w:tcW w:w="1750" w:type="pct"/>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小计</w:t>
            </w:r>
          </w:p>
        </w:tc>
        <w:tc>
          <w:tcPr>
            <w:tcW w:w="964" w:type="pct"/>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1810</w:t>
            </w:r>
          </w:p>
        </w:tc>
        <w:tc>
          <w:tcPr>
            <w:tcW w:w="964" w:type="pct"/>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38.81%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restar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升学</w:t>
            </w:r>
          </w:p>
        </w:tc>
        <w:tc>
          <w:tcPr>
            <w:tcW w:w="1750"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研究生</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372</w:t>
            </w:r>
          </w:p>
        </w:tc>
        <w:tc>
          <w:tcPr>
            <w:tcW w:w="964" w:type="pct"/>
            <w:shd w:val="clear" w:color="auto" w:fill="C7E2FA"/>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vAlign w:val="center"/>
          </w:tcPr>
          <w:p>
            <w:pPr>
              <w:jc w:val="center"/>
              <w:rPr>
                <w:rFonts w:hint="default" w:ascii="Times New Roman" w:hAnsi="Times New Roman" w:eastAsia="宋体" w:cs="Times New Roman"/>
                <w:sz w:val="22"/>
                <w:szCs w:val="22"/>
              </w:rPr>
            </w:pPr>
          </w:p>
        </w:tc>
        <w:tc>
          <w:tcPr>
            <w:tcW w:w="1750"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出国出境深造</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18</w:t>
            </w:r>
          </w:p>
        </w:tc>
        <w:tc>
          <w:tcPr>
            <w:tcW w:w="964" w:type="pct"/>
            <w:vAlign w:val="center"/>
          </w:tcPr>
          <w:p>
            <w:pPr>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C7E2FA"/>
            <w:vAlign w:val="center"/>
          </w:tcPr>
          <w:p>
            <w:pPr>
              <w:jc w:val="center"/>
              <w:rPr>
                <w:rFonts w:hint="default" w:ascii="Times New Roman" w:hAnsi="Times New Roman" w:eastAsia="宋体" w:cs="Times New Roman"/>
                <w:sz w:val="22"/>
                <w:szCs w:val="22"/>
              </w:rPr>
            </w:pPr>
          </w:p>
        </w:tc>
        <w:tc>
          <w:tcPr>
            <w:tcW w:w="1750" w:type="pct"/>
            <w:shd w:val="clear" w:color="auto" w:fill="C7E2FA"/>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小计</w:t>
            </w:r>
          </w:p>
        </w:tc>
        <w:tc>
          <w:tcPr>
            <w:tcW w:w="964" w:type="pct"/>
            <w:shd w:val="clear" w:color="auto" w:fill="C7E2FA"/>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390</w:t>
            </w:r>
          </w:p>
        </w:tc>
        <w:tc>
          <w:tcPr>
            <w:tcW w:w="964" w:type="pct"/>
            <w:shd w:val="clear" w:color="auto" w:fill="C7E2FA"/>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3071" w:type="pct"/>
            <w:gridSpan w:val="2"/>
            <w:shd w:val="clear" w:color="auto" w:fill="auto"/>
            <w:vAlign w:val="center"/>
          </w:tcPr>
          <w:p>
            <w:pPr>
              <w:jc w:val="center"/>
              <w:rPr>
                <w:rFonts w:hint="default" w:ascii="Times New Roman" w:hAnsi="Times New Roman" w:eastAsia="宋体" w:cs="Times New Roman"/>
                <w:b/>
                <w:bCs/>
                <w:sz w:val="22"/>
                <w:szCs w:val="22"/>
                <w:lang w:val="en-US" w:eastAsia="zh-CN"/>
              </w:rPr>
            </w:pPr>
            <w:r>
              <w:rPr>
                <w:rFonts w:hint="eastAsia" w:ascii="Times New Roman" w:hAnsi="Times New Roman" w:cs="Times New Roman"/>
                <w:b/>
                <w:bCs/>
                <w:sz w:val="22"/>
                <w:szCs w:val="22"/>
                <w:lang w:val="en-US" w:eastAsia="zh-CN"/>
              </w:rPr>
              <w:t>毕业去向落实率</w:t>
            </w:r>
          </w:p>
        </w:tc>
        <w:tc>
          <w:tcPr>
            <w:tcW w:w="964" w:type="pct"/>
            <w:shd w:val="clear" w:color="auto" w:fill="auto"/>
            <w:vAlign w:val="center"/>
          </w:tcPr>
          <w:p>
            <w:pPr>
              <w:jc w:val="center"/>
              <w:rPr>
                <w:rFonts w:hint="default" w:ascii="Times New Roman" w:hAnsi="Times New Roman" w:eastAsia="宋体" w:cs="Times New Roman"/>
                <w:b/>
                <w:bCs/>
                <w:sz w:val="22"/>
                <w:szCs w:val="22"/>
                <w:lang w:val="en-US" w:eastAsia="zh-CN"/>
              </w:rPr>
            </w:pPr>
            <w:r>
              <w:rPr>
                <w:rFonts w:hint="eastAsia" w:ascii="Times New Roman" w:hAnsi="Times New Roman" w:cs="Times New Roman"/>
                <w:b/>
                <w:bCs/>
                <w:sz w:val="22"/>
                <w:szCs w:val="22"/>
                <w:lang w:val="en-US" w:eastAsia="zh-CN"/>
              </w:rPr>
              <w:t>3932</w:t>
            </w:r>
          </w:p>
        </w:tc>
        <w:tc>
          <w:tcPr>
            <w:tcW w:w="964" w:type="pct"/>
            <w:shd w:val="clear" w:color="auto" w:fill="auto"/>
            <w:vAlign w:val="center"/>
          </w:tcPr>
          <w:p>
            <w:pPr>
              <w:jc w:val="center"/>
              <w:rPr>
                <w:rFonts w:hint="default" w:ascii="Times New Roman" w:hAnsi="Times New Roman" w:eastAsia="宋体" w:cs="Times New Roman"/>
                <w:b/>
                <w:bCs/>
                <w:sz w:val="22"/>
                <w:szCs w:val="22"/>
                <w:lang w:val="en-US" w:eastAsia="zh-CN"/>
              </w:rPr>
            </w:pPr>
            <w:r>
              <w:rPr>
                <w:rFonts w:hint="eastAsia" w:ascii="Times New Roman" w:hAnsi="Times New Roman" w:cs="Times New Roman"/>
                <w:b/>
                <w:bCs/>
                <w:sz w:val="22"/>
                <w:szCs w:val="22"/>
                <w:lang w:val="en-US" w:eastAsia="zh-CN"/>
              </w:rPr>
              <w:t>84.31%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restart"/>
            <w:shd w:val="clear" w:color="auto" w:fill="C7E2FA"/>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未就业</w:t>
            </w:r>
          </w:p>
        </w:tc>
        <w:tc>
          <w:tcPr>
            <w:tcW w:w="1750" w:type="pct"/>
            <w:shd w:val="clear" w:color="auto" w:fill="C7E2FA"/>
            <w:vAlign w:val="center"/>
          </w:tcPr>
          <w:p>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未就业</w:t>
            </w:r>
          </w:p>
        </w:tc>
        <w:tc>
          <w:tcPr>
            <w:tcW w:w="964" w:type="pct"/>
            <w:shd w:val="clear" w:color="auto" w:fill="C7E2FA"/>
            <w:vAlign w:val="center"/>
          </w:tcPr>
          <w:p>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732</w:t>
            </w:r>
          </w:p>
        </w:tc>
        <w:tc>
          <w:tcPr>
            <w:tcW w:w="964" w:type="pct"/>
            <w:shd w:val="clear" w:color="auto" w:fill="C7E2FA"/>
            <w:vAlign w:val="center"/>
          </w:tcPr>
          <w:p>
            <w:pPr>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Merge w:val="continue"/>
            <w:shd w:val="clear" w:color="auto" w:fill="C7E2FA"/>
            <w:vAlign w:val="center"/>
          </w:tcPr>
          <w:p>
            <w:pPr>
              <w:jc w:val="center"/>
              <w:rPr>
                <w:rFonts w:hint="default" w:ascii="Times New Roman" w:hAnsi="Times New Roman" w:eastAsia="宋体" w:cs="Times New Roman"/>
                <w:sz w:val="22"/>
                <w:szCs w:val="22"/>
              </w:rPr>
            </w:pPr>
          </w:p>
        </w:tc>
        <w:tc>
          <w:tcPr>
            <w:tcW w:w="1750" w:type="pct"/>
            <w:shd w:val="clear" w:color="auto" w:fill="FFFFFF" w:themeFill="background1"/>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小计</w:t>
            </w:r>
          </w:p>
        </w:tc>
        <w:tc>
          <w:tcPr>
            <w:tcW w:w="964" w:type="pct"/>
            <w:shd w:val="clear" w:color="auto" w:fill="FFFFFF" w:themeFill="background1"/>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732</w:t>
            </w:r>
          </w:p>
        </w:tc>
        <w:tc>
          <w:tcPr>
            <w:tcW w:w="964" w:type="pct"/>
            <w:shd w:val="clear" w:color="auto" w:fill="FFFFFF" w:themeFill="background1"/>
            <w:vAlign w:val="center"/>
          </w:tcPr>
          <w:p>
            <w:pPr>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lang w:val="en-US" w:eastAsia="zh-CN"/>
              </w:rPr>
              <w:t>15.69%</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1"/>
          <w:numId w:val="16"/>
        </w:numPr>
        <w:shd w:val="clear" w:color="auto" w:fill="FFFFFF"/>
        <w:spacing w:before="15" w:after="15" w:line="360" w:lineRule="auto"/>
        <w:jc w:val="left"/>
        <w:outlineLvl w:val="1"/>
        <w:rPr>
          <w:rFonts w:hint="default" w:ascii="Times New Roman" w:hAnsi="Times New Roman" w:cs="Times New Roman"/>
        </w:rPr>
      </w:pPr>
      <w:bookmarkStart w:id="16" w:name="_Toc8860"/>
      <w:r>
        <w:rPr>
          <w:rFonts w:hint="default" w:ascii="Times New Roman" w:hAnsi="Times New Roman" w:eastAsia="黑体" w:cs="Times New Roman"/>
          <w:b/>
          <w:color w:val="0F6FC6"/>
          <w:sz w:val="30"/>
          <w:u w:color="auto"/>
        </w:rPr>
        <w:t>三、国内升学情况分析</w:t>
      </w:r>
      <w:bookmarkEnd w:id="16"/>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毕业生升学情况是人才培养质量的重要反映，也是促进毕业生更高质量更充分就业的重要抓手。毕业生升学率是衡量学校教学质量的重要指标，也是衡量同级同类学校教育质量的重要标准。通过调研分析毕业生国内升学的情况可以体现出学校不断提高教学质量、注重内涵建设。</w:t>
      </w:r>
    </w:p>
    <w:p>
      <w:pPr>
        <w:numPr>
          <w:ilvl w:val="2"/>
          <w:numId w:val="17"/>
        </w:numPr>
        <w:shd w:val="clear" w:color="auto" w:fill="FFFFFF"/>
        <w:spacing w:before="15" w:after="15" w:line="360" w:lineRule="auto"/>
        <w:jc w:val="left"/>
        <w:outlineLvl w:val="2"/>
        <w:rPr>
          <w:rFonts w:hint="default" w:ascii="Times New Roman" w:hAnsi="Times New Roman" w:cs="Times New Roman"/>
        </w:rPr>
      </w:pPr>
      <w:bookmarkStart w:id="17" w:name="_Toc22986"/>
      <w:r>
        <w:rPr>
          <w:rFonts w:hint="default" w:ascii="Times New Roman" w:hAnsi="Times New Roman" w:eastAsia="黑体" w:cs="Times New Roman"/>
          <w:b/>
          <w:color w:val="0F6FC6"/>
          <w:sz w:val="28"/>
          <w:u w:color="auto"/>
        </w:rPr>
        <w:t>（一）升学基本情况</w:t>
      </w:r>
      <w:bookmarkEnd w:id="1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学校2023届毕业生中，共有372人选择国内升学，国内升学率为7.98%。升学院校主要流向了山西大学（43人）、山西师范大学（23人）、太原科技大学（19人）等院校。毕业生主要流向院校分布如下表所示。</w:t>
      </w:r>
    </w:p>
    <w:p>
      <w:pPr>
        <w:spacing w:line="360" w:lineRule="auto"/>
        <w:jc w:val="center"/>
        <w:rPr>
          <w:rFonts w:hint="default" w:ascii="Times New Roman" w:hAnsi="Times New Roman" w:eastAsia="宋体" w:cs="Times New Roman"/>
          <w:b/>
          <w:color w:val="0F6FC6"/>
          <w:sz w:val="21"/>
          <w:u w:color="auto"/>
        </w:rPr>
      </w:pPr>
      <w:r>
        <w:rPr>
          <w:rFonts w:hint="default" w:ascii="Times New Roman" w:hAnsi="Times New Roman" w:eastAsia="宋体" w:cs="Times New Roman"/>
          <w:b/>
          <w:color w:val="0F6FC6"/>
          <w:sz w:val="21"/>
          <w:u w:color="auto"/>
        </w:rPr>
        <w:t>表2-5  2023届毕业生升学</w:t>
      </w:r>
      <w:r>
        <w:rPr>
          <w:rFonts w:hint="eastAsia" w:ascii="Times New Roman" w:hAnsi="Times New Roman" w:eastAsia="宋体" w:cs="Times New Roman"/>
          <w:b/>
          <w:color w:val="0F6FC6"/>
          <w:sz w:val="21"/>
          <w:u w:color="auto"/>
          <w:lang w:val="en-US" w:eastAsia="zh-CN"/>
        </w:rPr>
        <w:t>院</w:t>
      </w:r>
      <w:r>
        <w:rPr>
          <w:rFonts w:hint="default" w:ascii="Times New Roman" w:hAnsi="Times New Roman" w:eastAsia="宋体" w:cs="Times New Roman"/>
          <w:b/>
          <w:color w:val="0F6FC6"/>
          <w:sz w:val="21"/>
          <w:u w:color="auto"/>
        </w:rPr>
        <w:t>校流向（呈现人数≥5的院校）</w:t>
      </w:r>
    </w:p>
    <w:tbl>
      <w:tblPr>
        <w:tblStyle w:val="14"/>
        <w:tblW w:w="84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3"/>
        <w:gridCol w:w="2833"/>
        <w:gridCol w:w="28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2833" w:type="dxa"/>
            <w:vAlign w:val="center"/>
          </w:tcPr>
          <w:p>
            <w:pPr>
              <w:jc w:val="center"/>
              <w:outlineLvl w:val="9"/>
              <w:rPr>
                <w:rFonts w:hint="eastAsia" w:eastAsia="宋体"/>
                <w:highlight w:val="none"/>
                <w:vertAlign w:val="baseline"/>
                <w:lang w:eastAsia="zh-CN"/>
              </w:rPr>
            </w:pPr>
            <w:r>
              <w:rPr>
                <w:rFonts w:hint="eastAsia" w:eastAsia="宋体"/>
                <w:highlight w:val="none"/>
                <w:vertAlign w:val="baseline"/>
                <w:lang w:eastAsia="zh-CN"/>
              </w:rPr>
              <w:drawing>
                <wp:inline distT="0" distB="0" distL="114300" distR="114300">
                  <wp:extent cx="1007745" cy="1007745"/>
                  <wp:effectExtent l="0" t="0" r="1905" b="1905"/>
                  <wp:docPr id="97" name="图片 97" descr="山西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山西大学"/>
                          <pic:cNvPicPr>
                            <a:picLocks noChangeAspect="1"/>
                          </pic:cNvPicPr>
                        </pic:nvPicPr>
                        <pic:blipFill>
                          <a:blip r:embed="rId40"/>
                          <a:stretch>
                            <a:fillRect/>
                          </a:stretch>
                        </pic:blipFill>
                        <pic:spPr>
                          <a:xfrm>
                            <a:off x="0" y="0"/>
                            <a:ext cx="1007745" cy="1007745"/>
                          </a:xfrm>
                          <a:prstGeom prst="rect">
                            <a:avLst/>
                          </a:prstGeom>
                        </pic:spPr>
                      </pic:pic>
                    </a:graphicData>
                  </a:graphic>
                </wp:inline>
              </w:drawing>
            </w:r>
          </w:p>
        </w:tc>
        <w:tc>
          <w:tcPr>
            <w:tcW w:w="2833" w:type="dxa"/>
            <w:vAlign w:val="center"/>
          </w:tcPr>
          <w:p>
            <w:pPr>
              <w:jc w:val="center"/>
              <w:outlineLvl w:val="9"/>
              <w:rPr>
                <w:rFonts w:hint="eastAsia" w:eastAsia="宋体"/>
                <w:highlight w:val="none"/>
                <w:vertAlign w:val="baseline"/>
                <w:lang w:eastAsia="zh-CN"/>
              </w:rPr>
            </w:pPr>
            <w:r>
              <w:drawing>
                <wp:inline distT="0" distB="0" distL="114300" distR="114300">
                  <wp:extent cx="1104265" cy="1080135"/>
                  <wp:effectExtent l="0" t="0" r="635" b="5715"/>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41"/>
                          <a:stretch>
                            <a:fillRect/>
                          </a:stretch>
                        </pic:blipFill>
                        <pic:spPr>
                          <a:xfrm>
                            <a:off x="0" y="0"/>
                            <a:ext cx="1104265" cy="1080135"/>
                          </a:xfrm>
                          <a:prstGeom prst="rect">
                            <a:avLst/>
                          </a:prstGeom>
                          <a:noFill/>
                          <a:ln>
                            <a:noFill/>
                          </a:ln>
                        </pic:spPr>
                      </pic:pic>
                    </a:graphicData>
                  </a:graphic>
                </wp:inline>
              </w:drawing>
            </w:r>
          </w:p>
        </w:tc>
        <w:tc>
          <w:tcPr>
            <w:tcW w:w="2833" w:type="dxa"/>
            <w:vAlign w:val="center"/>
          </w:tcPr>
          <w:p>
            <w:pPr>
              <w:jc w:val="center"/>
              <w:outlineLvl w:val="9"/>
              <w:rPr>
                <w:rFonts w:hint="eastAsia" w:eastAsia="宋体"/>
                <w:highlight w:val="none"/>
                <w:vertAlign w:val="baseline"/>
                <w:lang w:eastAsia="zh-CN"/>
              </w:rPr>
            </w:pPr>
            <w:r>
              <w:rPr>
                <w:rFonts w:hint="eastAsia" w:eastAsia="宋体"/>
                <w:highlight w:val="none"/>
                <w:vertAlign w:val="baseline"/>
                <w:lang w:eastAsia="zh-CN"/>
              </w:rPr>
              <w:drawing>
                <wp:inline distT="0" distB="0" distL="114300" distR="114300">
                  <wp:extent cx="972185" cy="972185"/>
                  <wp:effectExtent l="0" t="0" r="18415" b="18415"/>
                  <wp:docPr id="78" name="图片 78" descr="log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logo-lan"/>
                          <pic:cNvPicPr>
                            <a:picLocks noChangeAspect="1"/>
                          </pic:cNvPicPr>
                        </pic:nvPicPr>
                        <pic:blipFill>
                          <a:blip r:embed="rId42"/>
                          <a:stretch>
                            <a:fillRect/>
                          </a:stretch>
                        </pic:blipFill>
                        <pic:spPr>
                          <a:xfrm>
                            <a:off x="0" y="0"/>
                            <a:ext cx="972185" cy="9721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2833" w:type="dxa"/>
            <w:vAlign w:val="center"/>
          </w:tcPr>
          <w:p>
            <w:pPr>
              <w:jc w:val="center"/>
              <w:outlineLvl w:val="9"/>
              <w:rPr>
                <w:rFonts w:hint="default"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pPr>
            <w:r>
              <w:rPr>
                <w:rFonts w:hint="default"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No.1</w:t>
            </w:r>
          </w:p>
        </w:tc>
        <w:tc>
          <w:tcPr>
            <w:tcW w:w="2833" w:type="dxa"/>
            <w:vAlign w:val="center"/>
          </w:tcPr>
          <w:p>
            <w:pPr>
              <w:jc w:val="center"/>
              <w:outlineLvl w:val="9"/>
              <w:rPr>
                <w:rFonts w:hint="default"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pPr>
            <w:r>
              <w:rPr>
                <w:rFonts w:hint="default"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No.2</w:t>
            </w:r>
          </w:p>
        </w:tc>
        <w:tc>
          <w:tcPr>
            <w:tcW w:w="2833" w:type="dxa"/>
            <w:vAlign w:val="center"/>
          </w:tcPr>
          <w:p>
            <w:pPr>
              <w:jc w:val="center"/>
              <w:outlineLvl w:val="9"/>
              <w:rPr>
                <w:rFonts w:hint="default"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pPr>
            <w:r>
              <w:rPr>
                <w:rFonts w:hint="default"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No.3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2833" w:type="dxa"/>
            <w:vAlign w:val="center"/>
          </w:tcPr>
          <w:p>
            <w:pPr>
              <w:jc w:val="center"/>
              <w:outlineLvl w:val="9"/>
              <w:rPr>
                <w:rFonts w:hint="default" w:ascii="Times New Roman" w:hAnsi="Times New Roman" w:eastAsia="宋体" w:cs="Times New Roman"/>
                <w:b/>
                <w:bCs/>
                <w:color w:val="4F81BD" w:themeColor="accent1"/>
                <w:sz w:val="24"/>
                <w:szCs w:val="28"/>
                <w:highlight w:val="none"/>
                <w:vertAlign w:val="baseline"/>
                <w:lang w:val="en-US" w:eastAsia="zh-CN"/>
                <w14:textFill>
                  <w14:solidFill>
                    <w14:schemeClr w14:val="accent1"/>
                  </w14:solidFill>
                </w14:textFill>
              </w:rPr>
            </w:pPr>
            <w:r>
              <w:rPr>
                <w:rFonts w:hint="eastAsia"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山西大学</w:t>
            </w:r>
          </w:p>
        </w:tc>
        <w:tc>
          <w:tcPr>
            <w:tcW w:w="2833" w:type="dxa"/>
            <w:vAlign w:val="center"/>
          </w:tcPr>
          <w:p>
            <w:pPr>
              <w:jc w:val="center"/>
              <w:outlineLvl w:val="9"/>
              <w:rPr>
                <w:rFonts w:hint="default" w:ascii="Times New Roman" w:hAnsi="Times New Roman" w:eastAsia="宋体" w:cs="Times New Roman"/>
                <w:b/>
                <w:bCs/>
                <w:color w:val="4F81BD" w:themeColor="accent1"/>
                <w:sz w:val="24"/>
                <w:szCs w:val="28"/>
                <w:highlight w:val="none"/>
                <w:vertAlign w:val="baseline"/>
                <w:lang w:val="en-US" w:eastAsia="zh-CN"/>
                <w14:textFill>
                  <w14:solidFill>
                    <w14:schemeClr w14:val="accent1"/>
                  </w14:solidFill>
                </w14:textFill>
              </w:rPr>
            </w:pPr>
            <w:r>
              <w:rPr>
                <w:rFonts w:hint="eastAsia"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山西师范大学</w:t>
            </w:r>
          </w:p>
        </w:tc>
        <w:tc>
          <w:tcPr>
            <w:tcW w:w="2833" w:type="dxa"/>
            <w:vAlign w:val="center"/>
          </w:tcPr>
          <w:p>
            <w:pPr>
              <w:jc w:val="center"/>
              <w:outlineLvl w:val="9"/>
              <w:rPr>
                <w:rFonts w:hint="default" w:ascii="Times New Roman" w:hAnsi="Times New Roman" w:eastAsia="宋体" w:cs="Times New Roman"/>
                <w:b/>
                <w:bCs/>
                <w:color w:val="4F81BD" w:themeColor="accent1"/>
                <w:sz w:val="24"/>
                <w:szCs w:val="28"/>
                <w:highlight w:val="none"/>
                <w:vertAlign w:val="baseline"/>
                <w:lang w:val="en-US" w:eastAsia="zh-CN"/>
                <w14:textFill>
                  <w14:solidFill>
                    <w14:schemeClr w14:val="accent1"/>
                  </w14:solidFill>
                </w14:textFill>
              </w:rPr>
            </w:pPr>
            <w:r>
              <w:rPr>
                <w:rFonts w:hint="eastAsia"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太原科技大学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2833" w:type="dxa"/>
            <w:vAlign w:val="center"/>
          </w:tcPr>
          <w:p>
            <w:pPr>
              <w:jc w:val="center"/>
              <w:outlineLvl w:val="9"/>
              <w:rPr>
                <w:rFonts w:hint="default" w:ascii="Times New Roman" w:hAnsi="Times New Roman" w:eastAsia="宋体" w:cs="Times New Roman"/>
                <w:b/>
                <w:bCs/>
                <w:color w:val="4F81BD" w:themeColor="accent1"/>
                <w:sz w:val="24"/>
                <w:szCs w:val="28"/>
                <w:highlight w:val="none"/>
                <w:vertAlign w:val="baseline"/>
                <w:lang w:val="en-US" w:eastAsia="zh-CN"/>
                <w14:textFill>
                  <w14:solidFill>
                    <w14:schemeClr w14:val="accent1"/>
                  </w14:solidFill>
                </w14:textFill>
              </w:rPr>
            </w:pPr>
            <w:r>
              <w:rPr>
                <w:rFonts w:hint="eastAsia"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43</w:t>
            </w:r>
            <w:r>
              <w:rPr>
                <w:rFonts w:hint="default"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人</w:t>
            </w:r>
          </w:p>
        </w:tc>
        <w:tc>
          <w:tcPr>
            <w:tcW w:w="2833" w:type="dxa"/>
            <w:vAlign w:val="center"/>
          </w:tcPr>
          <w:p>
            <w:pPr>
              <w:jc w:val="center"/>
              <w:outlineLvl w:val="9"/>
              <w:rPr>
                <w:rFonts w:hint="default" w:ascii="Times New Roman" w:hAnsi="Times New Roman" w:eastAsia="宋体" w:cs="Times New Roman"/>
                <w:b/>
                <w:bCs/>
                <w:color w:val="4F81BD" w:themeColor="accent1"/>
                <w:sz w:val="24"/>
                <w:szCs w:val="28"/>
                <w:highlight w:val="none"/>
                <w:vertAlign w:val="baseline"/>
                <w:lang w:val="en-US" w:eastAsia="zh-CN"/>
                <w14:textFill>
                  <w14:solidFill>
                    <w14:schemeClr w14:val="accent1"/>
                  </w14:solidFill>
                </w14:textFill>
              </w:rPr>
            </w:pPr>
            <w:r>
              <w:rPr>
                <w:rFonts w:hint="eastAsia"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23</w:t>
            </w:r>
            <w:r>
              <w:rPr>
                <w:rFonts w:hint="default"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人</w:t>
            </w:r>
          </w:p>
        </w:tc>
        <w:tc>
          <w:tcPr>
            <w:tcW w:w="2833" w:type="dxa"/>
            <w:vAlign w:val="center"/>
          </w:tcPr>
          <w:p>
            <w:pPr>
              <w:jc w:val="center"/>
              <w:outlineLvl w:val="9"/>
              <w:rPr>
                <w:rFonts w:hint="default" w:ascii="Times New Roman" w:hAnsi="Times New Roman" w:eastAsia="宋体" w:cs="Times New Roman"/>
                <w:b/>
                <w:bCs/>
                <w:color w:val="4F81BD" w:themeColor="accent1"/>
                <w:sz w:val="24"/>
                <w:szCs w:val="28"/>
                <w:highlight w:val="none"/>
                <w:vertAlign w:val="baseline"/>
                <w:lang w:val="en-US" w:eastAsia="zh-CN"/>
                <w14:textFill>
                  <w14:solidFill>
                    <w14:schemeClr w14:val="accent1"/>
                  </w14:solidFill>
                </w14:textFill>
              </w:rPr>
            </w:pPr>
            <w:r>
              <w:rPr>
                <w:rFonts w:hint="eastAsia"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19</w:t>
            </w:r>
            <w:r>
              <w:rPr>
                <w:rFonts w:hint="default" w:ascii="Times New Roman" w:hAnsi="Times New Roman" w:cs="Times New Roman"/>
                <w:b/>
                <w:bCs/>
                <w:color w:val="4F81BD" w:themeColor="accent1"/>
                <w:sz w:val="24"/>
                <w:szCs w:val="28"/>
                <w:highlight w:val="none"/>
                <w:vertAlign w:val="baseline"/>
                <w:lang w:val="en-US" w:eastAsia="zh-CN"/>
                <w14:textFill>
                  <w14:solidFill>
                    <w14:schemeClr w14:val="accent1"/>
                  </w14:solidFill>
                </w14:textFill>
              </w:rPr>
              <w:t>人</w:t>
            </w:r>
          </w:p>
        </w:tc>
      </w:tr>
    </w:tbl>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906"/>
        <w:gridCol w:w="4718"/>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059"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序号</w:t>
            </w:r>
          </w:p>
        </w:tc>
        <w:tc>
          <w:tcPr>
            <w:tcW w:w="2620" w:type="pct"/>
            <w:shd w:val="clear" w:color="auto" w:fill="0F6FC6"/>
            <w:vAlign w:val="center"/>
          </w:tcPr>
          <w:p>
            <w:pPr>
              <w:jc w:val="center"/>
              <w:rPr>
                <w:rFonts w:hint="default" w:ascii="Times New Roman" w:hAnsi="Times New Roman" w:cs="Times New Roman"/>
              </w:rPr>
            </w:pPr>
            <w:r>
              <w:rPr>
                <w:rFonts w:hint="eastAsia" w:ascii="Times New Roman" w:hAnsi="Times New Roman" w:cs="Times New Roman"/>
                <w:b/>
                <w:color w:val="FFFFFF"/>
                <w:sz w:val="22"/>
                <w:u w:color="auto"/>
                <w:lang w:val="en-US" w:eastAsia="zh-CN"/>
              </w:rPr>
              <w:t>院校</w:t>
            </w:r>
            <w:r>
              <w:rPr>
                <w:rFonts w:hint="default" w:ascii="Times New Roman" w:hAnsi="Times New Roman" w:eastAsia="宋体" w:cs="Times New Roman"/>
                <w:b/>
                <w:color w:val="FFFFFF"/>
                <w:sz w:val="22"/>
                <w:u w:color="auto"/>
              </w:rPr>
              <w:t>名称</w:t>
            </w:r>
          </w:p>
        </w:tc>
        <w:tc>
          <w:tcPr>
            <w:tcW w:w="132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w:t>
            </w:r>
          </w:p>
        </w:tc>
        <w:tc>
          <w:tcPr>
            <w:tcW w:w="262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太原理工大学</w:t>
            </w:r>
          </w:p>
        </w:tc>
        <w:tc>
          <w:tcPr>
            <w:tcW w:w="132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w:t>
            </w:r>
          </w:p>
        </w:tc>
        <w:tc>
          <w:tcPr>
            <w:tcW w:w="262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中北大学</w:t>
            </w:r>
          </w:p>
        </w:tc>
        <w:tc>
          <w:tcPr>
            <w:tcW w:w="132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05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w:t>
            </w:r>
          </w:p>
        </w:tc>
        <w:tc>
          <w:tcPr>
            <w:tcW w:w="262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辽宁大学</w:t>
            </w:r>
          </w:p>
        </w:tc>
        <w:tc>
          <w:tcPr>
            <w:tcW w:w="132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w:t>
            </w:r>
          </w:p>
        </w:tc>
        <w:tc>
          <w:tcPr>
            <w:tcW w:w="262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西北大学</w:t>
            </w:r>
          </w:p>
        </w:tc>
        <w:tc>
          <w:tcPr>
            <w:tcW w:w="132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w:t>
            </w:r>
          </w:p>
        </w:tc>
        <w:tc>
          <w:tcPr>
            <w:tcW w:w="262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山西财经大学</w:t>
            </w:r>
          </w:p>
        </w:tc>
        <w:tc>
          <w:tcPr>
            <w:tcW w:w="132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w:t>
            </w:r>
          </w:p>
        </w:tc>
        <w:tc>
          <w:tcPr>
            <w:tcW w:w="262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西北师范大学</w:t>
            </w:r>
          </w:p>
        </w:tc>
        <w:tc>
          <w:tcPr>
            <w:tcW w:w="132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w:t>
            </w:r>
          </w:p>
        </w:tc>
        <w:tc>
          <w:tcPr>
            <w:tcW w:w="262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河北大学</w:t>
            </w:r>
          </w:p>
        </w:tc>
        <w:tc>
          <w:tcPr>
            <w:tcW w:w="132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w:t>
            </w:r>
          </w:p>
        </w:tc>
        <w:tc>
          <w:tcPr>
            <w:tcW w:w="262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沈阳工业大学</w:t>
            </w:r>
          </w:p>
        </w:tc>
        <w:tc>
          <w:tcPr>
            <w:tcW w:w="132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w:t>
            </w:r>
          </w:p>
        </w:tc>
        <w:tc>
          <w:tcPr>
            <w:tcW w:w="262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太原师范学院</w:t>
            </w:r>
          </w:p>
        </w:tc>
        <w:tc>
          <w:tcPr>
            <w:tcW w:w="132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2"/>
          <w:numId w:val="18"/>
        </w:numPr>
        <w:shd w:val="clear" w:color="auto" w:fill="FFFFFF"/>
        <w:spacing w:before="15" w:after="15" w:line="360" w:lineRule="auto"/>
        <w:jc w:val="left"/>
        <w:outlineLvl w:val="2"/>
        <w:rPr>
          <w:rFonts w:hint="default" w:ascii="Times New Roman" w:hAnsi="Times New Roman" w:cs="Times New Roman"/>
        </w:rPr>
      </w:pPr>
      <w:bookmarkStart w:id="18" w:name="_Toc142"/>
      <w:r>
        <w:rPr>
          <w:rFonts w:hint="default" w:ascii="Times New Roman" w:hAnsi="Times New Roman" w:eastAsia="黑体" w:cs="Times New Roman"/>
          <w:b/>
          <w:color w:val="0F6FC6"/>
          <w:sz w:val="28"/>
          <w:u w:color="auto"/>
        </w:rPr>
        <w:t>（二）升学专业相关度和满意度</w:t>
      </w:r>
      <w:bookmarkEnd w:id="1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学校2023届毕业生升学专业相关度为93.5</w:t>
      </w:r>
      <w:r>
        <w:rPr>
          <w:rFonts w:hint="eastAsia" w:ascii="Times New Roman" w:hAnsi="Times New Roman"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%，升学满意度为96.03%，均处于较高水平，表明毕业生对本专业的认可度较高。</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19905" cy="2159635"/>
            <wp:effectExtent l="0" t="0" r="4445" b="1206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图2-3  2023届毕业生升学专业相关度分布</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19905" cy="2159635"/>
            <wp:effectExtent l="0" t="0" r="4445" b="12065"/>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图2-4  2023届毕业生升学满意度分布</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19"/>
        </w:numPr>
        <w:shd w:val="clear" w:color="auto" w:fill="FFFFFF"/>
        <w:spacing w:before="15" w:after="15" w:line="360" w:lineRule="auto"/>
        <w:jc w:val="left"/>
        <w:outlineLvl w:val="2"/>
        <w:rPr>
          <w:rFonts w:hint="default" w:ascii="Times New Roman" w:hAnsi="Times New Roman" w:cs="Times New Roman"/>
        </w:rPr>
      </w:pPr>
      <w:bookmarkStart w:id="19" w:name="_Toc17035"/>
      <w:r>
        <w:rPr>
          <w:rFonts w:hint="default" w:ascii="Times New Roman" w:hAnsi="Times New Roman" w:eastAsia="黑体" w:cs="Times New Roman"/>
          <w:b/>
          <w:color w:val="0F6FC6"/>
          <w:sz w:val="28"/>
          <w:u w:color="auto"/>
        </w:rPr>
        <w:t>（三）升学原因</w:t>
      </w:r>
      <w:bookmarkEnd w:id="1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学校2023届毕业生选择升学的主要原因是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增加择业资本，站在更高求职点</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（28.16%），其次为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提高综合素质/能力</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（24.55%）。</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881880" cy="3050540"/>
            <wp:effectExtent l="0" t="0" r="13970" b="1651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图2-5  2023届毕业生升学原因分布（单位：%）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20"/>
        </w:numPr>
        <w:shd w:val="clear" w:color="auto" w:fill="FFFFFF"/>
        <w:spacing w:before="15" w:after="15" w:line="360" w:lineRule="auto"/>
        <w:jc w:val="left"/>
        <w:outlineLvl w:val="1"/>
        <w:rPr>
          <w:rFonts w:hint="default" w:ascii="Times New Roman" w:hAnsi="Times New Roman" w:eastAsia="黑体" w:cs="Times New Roman"/>
          <w:b/>
          <w:color w:val="0F6FC6"/>
          <w:sz w:val="30"/>
          <w:u w:color="auto"/>
          <w:lang w:val="en-US" w:eastAsia="zh-CN"/>
        </w:rPr>
      </w:pPr>
      <w:bookmarkStart w:id="20" w:name="_Toc18473"/>
      <w:bookmarkStart w:id="21" w:name="_Toc22957"/>
      <w:r>
        <w:rPr>
          <w:rFonts w:hint="default" w:ascii="Times New Roman" w:hAnsi="Times New Roman" w:eastAsia="黑体" w:cs="Times New Roman"/>
          <w:b/>
          <w:color w:val="0F6FC6"/>
          <w:sz w:val="30"/>
          <w:u w:color="auto"/>
          <w:lang w:val="en-US" w:eastAsia="zh-CN"/>
        </w:rPr>
        <w:t>四、出国、出境情况分析</w:t>
      </w:r>
      <w:bookmarkEnd w:id="20"/>
      <w:bookmarkEnd w:id="21"/>
    </w:p>
    <w:p>
      <w:pPr>
        <w:numPr>
          <w:ilvl w:val="2"/>
          <w:numId w:val="19"/>
        </w:numPr>
        <w:shd w:val="clear" w:color="auto" w:fill="FFFFFF"/>
        <w:spacing w:before="15" w:after="15" w:line="360" w:lineRule="auto"/>
        <w:jc w:val="left"/>
        <w:outlineLvl w:val="2"/>
        <w:rPr>
          <w:rFonts w:hint="default" w:ascii="Times New Roman" w:hAnsi="Times New Roman" w:eastAsia="黑体" w:cs="Times New Roman"/>
          <w:b/>
          <w:color w:val="0F6FC6"/>
          <w:sz w:val="28"/>
          <w:u w:color="auto"/>
          <w:lang w:val="en-US" w:eastAsia="zh-CN"/>
        </w:rPr>
      </w:pPr>
      <w:bookmarkStart w:id="22" w:name="_Toc2199"/>
      <w:bookmarkStart w:id="23" w:name="_Toc18751"/>
      <w:r>
        <w:rPr>
          <w:rFonts w:hint="default" w:ascii="Times New Roman" w:hAnsi="Times New Roman" w:eastAsia="黑体" w:cs="Times New Roman"/>
          <w:b/>
          <w:color w:val="0F6FC6"/>
          <w:sz w:val="28"/>
          <w:u w:color="auto"/>
          <w:lang w:val="en-US" w:eastAsia="zh-CN"/>
        </w:rPr>
        <w:t>（一）留学基本情况</w:t>
      </w:r>
      <w:bookmarkEnd w:id="22"/>
      <w:bookmarkEnd w:id="2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b w:val="0"/>
          <w:color w:val="000000"/>
          <w:sz w:val="24"/>
          <w:highlight w:val="none"/>
          <w:u w:color="auto"/>
        </w:rPr>
        <w:t>学校2023届毕业生中，共有</w:t>
      </w:r>
      <w:r>
        <w:rPr>
          <w:rFonts w:hint="eastAsia" w:ascii="Times New Roman" w:hAnsi="Times New Roman" w:eastAsia="宋体" w:cs="Times New Roman"/>
          <w:b w:val="0"/>
          <w:color w:val="000000"/>
          <w:sz w:val="24"/>
          <w:highlight w:val="none"/>
          <w:u w:color="auto"/>
          <w:lang w:val="en-US" w:eastAsia="zh-CN"/>
        </w:rPr>
        <w:t>18</w:t>
      </w:r>
      <w:r>
        <w:rPr>
          <w:rFonts w:hint="default" w:ascii="Times New Roman" w:hAnsi="Times New Roman" w:eastAsia="宋体" w:cs="Times New Roman"/>
          <w:b w:val="0"/>
          <w:color w:val="000000"/>
          <w:sz w:val="24"/>
          <w:highlight w:val="none"/>
          <w:u w:color="auto"/>
        </w:rPr>
        <w:t>人选择出国（境）深造，占毕业生总数的</w:t>
      </w:r>
      <w:r>
        <w:rPr>
          <w:rFonts w:hint="eastAsia" w:ascii="Times New Roman" w:hAnsi="Times New Roman" w:eastAsia="宋体" w:cs="Times New Roman"/>
          <w:b w:val="0"/>
          <w:color w:val="000000"/>
          <w:sz w:val="24"/>
          <w:highlight w:val="none"/>
          <w:u w:color="auto"/>
          <w:lang w:val="en-US" w:eastAsia="zh-CN"/>
        </w:rPr>
        <w:t>0.39</w:t>
      </w:r>
      <w:r>
        <w:rPr>
          <w:rFonts w:hint="default" w:ascii="Times New Roman" w:hAnsi="Times New Roman" w:eastAsia="宋体" w:cs="Times New Roman"/>
          <w:b w:val="0"/>
          <w:color w:val="000000"/>
          <w:sz w:val="24"/>
          <w:highlight w:val="none"/>
          <w:u w:color="auto"/>
        </w:rPr>
        <w:t>%。其中毕业生出国（境）留学</w:t>
      </w:r>
      <w:r>
        <w:rPr>
          <w:rFonts w:hint="eastAsia" w:cs="Times New Roman"/>
          <w:b w:val="0"/>
          <w:color w:val="000000"/>
          <w:sz w:val="24"/>
          <w:highlight w:val="none"/>
          <w:u w:color="auto"/>
          <w:lang w:val="en-US" w:eastAsia="zh-CN"/>
        </w:rPr>
        <w:t>地区</w:t>
      </w:r>
      <w:r>
        <w:rPr>
          <w:rFonts w:hint="default" w:ascii="Times New Roman" w:hAnsi="Times New Roman" w:eastAsia="宋体" w:cs="Times New Roman"/>
          <w:b w:val="0"/>
          <w:color w:val="000000"/>
          <w:sz w:val="24"/>
          <w:highlight w:val="none"/>
          <w:u w:color="auto"/>
        </w:rPr>
        <w:t>主要为</w:t>
      </w:r>
      <w:r>
        <w:rPr>
          <w:rFonts w:hint="eastAsia" w:ascii="Times New Roman" w:hAnsi="Times New Roman" w:eastAsia="宋体" w:cs="Times New Roman"/>
          <w:b w:val="0"/>
          <w:color w:val="000000"/>
          <w:sz w:val="24"/>
          <w:highlight w:val="none"/>
          <w:u w:color="auto"/>
          <w:lang w:val="en-US" w:eastAsia="zh-CN"/>
        </w:rPr>
        <w:t>英国</w:t>
      </w:r>
      <w:r>
        <w:rPr>
          <w:rFonts w:hint="default" w:ascii="Times New Roman" w:hAnsi="Times New Roman" w:eastAsia="宋体" w:cs="Times New Roman"/>
          <w:b w:val="0"/>
          <w:color w:val="000000"/>
          <w:sz w:val="24"/>
          <w:highlight w:val="none"/>
          <w:u w:color="auto"/>
        </w:rPr>
        <w:t>（</w:t>
      </w:r>
      <w:r>
        <w:rPr>
          <w:rFonts w:hint="eastAsia" w:ascii="Times New Roman" w:hAnsi="Times New Roman" w:eastAsia="宋体" w:cs="Times New Roman"/>
          <w:b w:val="0"/>
          <w:color w:val="000000"/>
          <w:sz w:val="24"/>
          <w:highlight w:val="none"/>
          <w:u w:color="auto"/>
          <w:lang w:val="en-US" w:eastAsia="zh-CN"/>
        </w:rPr>
        <w:t>9</w:t>
      </w:r>
      <w:r>
        <w:rPr>
          <w:rFonts w:hint="default" w:ascii="Times New Roman" w:hAnsi="Times New Roman" w:eastAsia="宋体" w:cs="Times New Roman"/>
          <w:b w:val="0"/>
          <w:color w:val="000000"/>
          <w:sz w:val="24"/>
          <w:highlight w:val="none"/>
          <w:u w:color="auto"/>
        </w:rPr>
        <w:t>人）、</w:t>
      </w:r>
      <w:r>
        <w:rPr>
          <w:rFonts w:hint="eastAsia" w:ascii="Times New Roman" w:hAnsi="Times New Roman" w:eastAsia="宋体" w:cs="Times New Roman"/>
          <w:b w:val="0"/>
          <w:color w:val="000000"/>
          <w:sz w:val="24"/>
          <w:highlight w:val="none"/>
          <w:u w:color="auto"/>
          <w:lang w:val="en-US" w:eastAsia="zh-CN"/>
        </w:rPr>
        <w:t>澳大利亚（4人）、中国香港</w:t>
      </w:r>
      <w:r>
        <w:rPr>
          <w:rFonts w:hint="default" w:ascii="Times New Roman" w:hAnsi="Times New Roman" w:eastAsia="宋体" w:cs="Times New Roman"/>
          <w:b w:val="0"/>
          <w:color w:val="000000"/>
          <w:sz w:val="24"/>
          <w:highlight w:val="none"/>
          <w:u w:color="auto"/>
        </w:rPr>
        <w:t>（</w:t>
      </w:r>
      <w:r>
        <w:rPr>
          <w:rFonts w:hint="eastAsia" w:ascii="Times New Roman" w:hAnsi="Times New Roman" w:eastAsia="宋体" w:cs="Times New Roman"/>
          <w:b w:val="0"/>
          <w:color w:val="000000"/>
          <w:sz w:val="24"/>
          <w:highlight w:val="none"/>
          <w:u w:color="auto"/>
          <w:lang w:val="en-US" w:eastAsia="zh-CN"/>
        </w:rPr>
        <w:t>2</w:t>
      </w:r>
      <w:r>
        <w:rPr>
          <w:rFonts w:hint="default" w:ascii="Times New Roman" w:hAnsi="Times New Roman" w:eastAsia="宋体" w:cs="Times New Roman"/>
          <w:b w:val="0"/>
          <w:color w:val="000000"/>
          <w:sz w:val="24"/>
          <w:highlight w:val="none"/>
          <w:u w:color="auto"/>
        </w:rPr>
        <w:t>人）和</w:t>
      </w:r>
      <w:r>
        <w:rPr>
          <w:rFonts w:hint="eastAsia" w:ascii="Times New Roman" w:hAnsi="Times New Roman" w:eastAsia="宋体" w:cs="Times New Roman"/>
          <w:b w:val="0"/>
          <w:color w:val="000000"/>
          <w:sz w:val="24"/>
          <w:highlight w:val="none"/>
          <w:u w:color="auto"/>
          <w:lang w:val="en-US" w:eastAsia="zh-CN"/>
        </w:rPr>
        <w:t>中国澳门</w:t>
      </w:r>
      <w:r>
        <w:rPr>
          <w:rFonts w:hint="default" w:ascii="Times New Roman" w:hAnsi="Times New Roman" w:eastAsia="宋体" w:cs="Times New Roman"/>
          <w:b w:val="0"/>
          <w:color w:val="000000"/>
          <w:sz w:val="24"/>
          <w:highlight w:val="none"/>
          <w:u w:color="auto"/>
        </w:rPr>
        <w:t>（</w:t>
      </w:r>
      <w:r>
        <w:rPr>
          <w:rFonts w:hint="eastAsia" w:ascii="Times New Roman" w:hAnsi="Times New Roman" w:eastAsia="宋体" w:cs="Times New Roman"/>
          <w:b w:val="0"/>
          <w:color w:val="000000"/>
          <w:sz w:val="24"/>
          <w:highlight w:val="none"/>
          <w:u w:color="auto"/>
          <w:lang w:val="en-US" w:eastAsia="zh-CN"/>
        </w:rPr>
        <w:t>2</w:t>
      </w:r>
      <w:r>
        <w:rPr>
          <w:rFonts w:hint="default" w:ascii="Times New Roman" w:hAnsi="Times New Roman" w:eastAsia="宋体" w:cs="Times New Roman"/>
          <w:b w:val="0"/>
          <w:color w:val="000000"/>
          <w:sz w:val="24"/>
          <w:highlight w:val="none"/>
          <w:u w:color="auto"/>
        </w:rPr>
        <w:t>人）。</w:t>
      </w:r>
    </w:p>
    <w:tbl>
      <w:tblPr>
        <w:tblStyle w:val="1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0"/>
        <w:gridCol w:w="2310"/>
        <w:gridCol w:w="2110"/>
        <w:gridCol w:w="22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1283" w:type="pct"/>
            <w:vAlign w:val="center"/>
          </w:tcPr>
          <w:p>
            <w:pPr>
              <w:jc w:val="center"/>
              <w:outlineLvl w:val="9"/>
              <w:rPr>
                <w:rFonts w:hint="eastAsia" w:ascii="Times New Roman" w:hAnsi="Times New Roman" w:eastAsia="宋体" w:cs="Times New Roman"/>
                <w:b/>
                <w:bCs/>
                <w:color w:val="4F80BD"/>
                <w:sz w:val="24"/>
                <w:szCs w:val="28"/>
                <w:highlight w:val="none"/>
                <w:vertAlign w:val="baseline"/>
                <w:lang w:val="en-US" w:eastAsia="zh-CN"/>
              </w:rPr>
            </w:pPr>
            <w:r>
              <w:rPr>
                <w:rFonts w:hint="eastAsia" w:ascii="Times New Roman" w:hAnsi="Times New Roman" w:eastAsia="宋体" w:cs="Times New Roman"/>
                <w:b/>
                <w:bCs/>
                <w:color w:val="4F80BD"/>
                <w:sz w:val="24"/>
                <w:szCs w:val="28"/>
                <w:highlight w:val="none"/>
                <w:vertAlign w:val="baseline"/>
                <w:lang w:val="en-US" w:eastAsia="zh-CN"/>
              </w:rPr>
              <w:drawing>
                <wp:inline distT="0" distB="0" distL="114300" distR="114300">
                  <wp:extent cx="1137285" cy="683895"/>
                  <wp:effectExtent l="0" t="0" r="5715" b="1905"/>
                  <wp:docPr id="30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7" descr="IMG_256"/>
                          <pic:cNvPicPr>
                            <a:picLocks noChangeAspect="1"/>
                          </pic:cNvPicPr>
                        </pic:nvPicPr>
                        <pic:blipFill>
                          <a:blip r:embed="rId46"/>
                          <a:stretch>
                            <a:fillRect/>
                          </a:stretch>
                        </pic:blipFill>
                        <pic:spPr>
                          <a:xfrm>
                            <a:off x="0" y="0"/>
                            <a:ext cx="1137285" cy="683895"/>
                          </a:xfrm>
                          <a:prstGeom prst="rect">
                            <a:avLst/>
                          </a:prstGeom>
                          <a:noFill/>
                          <a:ln w="9525">
                            <a:noFill/>
                          </a:ln>
                        </pic:spPr>
                      </pic:pic>
                    </a:graphicData>
                  </a:graphic>
                </wp:inline>
              </w:drawing>
            </w:r>
          </w:p>
        </w:tc>
        <w:tc>
          <w:tcPr>
            <w:tcW w:w="1283" w:type="pct"/>
            <w:vAlign w:val="center"/>
          </w:tcPr>
          <w:p>
            <w:pPr>
              <w:jc w:val="center"/>
              <w:outlineLvl w:val="9"/>
              <w:rPr>
                <w:rFonts w:hint="eastAsia" w:ascii="Times New Roman" w:hAnsi="Times New Roman" w:eastAsia="宋体" w:cs="Times New Roman"/>
                <w:b/>
                <w:bCs/>
                <w:color w:val="4F80BD"/>
                <w:sz w:val="24"/>
                <w:szCs w:val="28"/>
                <w:highlight w:val="none"/>
                <w:vertAlign w:val="baseline"/>
                <w:lang w:val="en-US" w:eastAsia="zh-CN"/>
              </w:rPr>
            </w:pPr>
            <w:r>
              <w:rPr>
                <w:rFonts w:hint="eastAsia" w:ascii="Times New Roman" w:hAnsi="Times New Roman" w:eastAsia="宋体" w:cs="Times New Roman"/>
                <w:b/>
                <w:bCs/>
                <w:color w:val="4F80BD"/>
                <w:sz w:val="24"/>
                <w:szCs w:val="28"/>
                <w:highlight w:val="none"/>
                <w:vertAlign w:val="baseline"/>
                <w:lang w:val="en-US" w:eastAsia="zh-CN"/>
              </w:rPr>
              <w:drawing>
                <wp:inline distT="0" distB="0" distL="114300" distR="114300">
                  <wp:extent cx="1137285" cy="683895"/>
                  <wp:effectExtent l="0" t="0" r="5715" b="1905"/>
                  <wp:docPr id="301"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5" descr="IMG_256"/>
                          <pic:cNvPicPr>
                            <a:picLocks noChangeAspect="1"/>
                          </pic:cNvPicPr>
                        </pic:nvPicPr>
                        <pic:blipFill>
                          <a:blip r:embed="rId47"/>
                          <a:stretch>
                            <a:fillRect/>
                          </a:stretch>
                        </pic:blipFill>
                        <pic:spPr>
                          <a:xfrm flipH="1">
                            <a:off x="0" y="0"/>
                            <a:ext cx="1137285" cy="683895"/>
                          </a:xfrm>
                          <a:prstGeom prst="rect">
                            <a:avLst/>
                          </a:prstGeom>
                          <a:noFill/>
                          <a:ln w="9525">
                            <a:noFill/>
                          </a:ln>
                        </pic:spPr>
                      </pic:pic>
                    </a:graphicData>
                  </a:graphic>
                </wp:inline>
              </w:drawing>
            </w:r>
          </w:p>
        </w:tc>
        <w:tc>
          <w:tcPr>
            <w:tcW w:w="1172" w:type="pct"/>
            <w:vAlign w:val="center"/>
          </w:tcPr>
          <w:p>
            <w:pPr>
              <w:jc w:val="center"/>
              <w:outlineLvl w:val="9"/>
              <w:rPr>
                <w:rFonts w:hint="eastAsia" w:ascii="Times New Roman" w:hAnsi="Times New Roman" w:eastAsia="宋体" w:cs="Times New Roman"/>
                <w:b/>
                <w:bCs/>
                <w:color w:val="4F80BD"/>
                <w:sz w:val="24"/>
                <w:szCs w:val="28"/>
                <w:highlight w:val="none"/>
                <w:vertAlign w:val="baseline"/>
                <w:lang w:val="en-US" w:eastAsia="zh-CN"/>
              </w:rPr>
            </w:pPr>
            <w:r>
              <w:rPr>
                <w:rFonts w:hint="eastAsia" w:ascii="Times New Roman" w:hAnsi="Times New Roman" w:eastAsia="宋体" w:cs="Times New Roman"/>
                <w:b/>
                <w:bCs/>
                <w:color w:val="4F80BD"/>
                <w:sz w:val="24"/>
                <w:szCs w:val="28"/>
                <w:highlight w:val="none"/>
                <w:vertAlign w:val="baseline"/>
                <w:lang w:val="en-US" w:eastAsia="zh-CN"/>
              </w:rPr>
              <w:drawing>
                <wp:inline distT="0" distB="0" distL="114300" distR="114300">
                  <wp:extent cx="1026795" cy="683895"/>
                  <wp:effectExtent l="0" t="0" r="1905" b="1905"/>
                  <wp:docPr id="8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descr="IMG_256"/>
                          <pic:cNvPicPr>
                            <a:picLocks noChangeAspect="1"/>
                          </pic:cNvPicPr>
                        </pic:nvPicPr>
                        <pic:blipFill>
                          <a:blip r:embed="rId48"/>
                          <a:stretch>
                            <a:fillRect/>
                          </a:stretch>
                        </pic:blipFill>
                        <pic:spPr>
                          <a:xfrm>
                            <a:off x="0" y="0"/>
                            <a:ext cx="1026795" cy="683895"/>
                          </a:xfrm>
                          <a:prstGeom prst="rect">
                            <a:avLst/>
                          </a:prstGeom>
                          <a:noFill/>
                          <a:ln w="9525">
                            <a:noFill/>
                          </a:ln>
                        </pic:spPr>
                      </pic:pic>
                    </a:graphicData>
                  </a:graphic>
                </wp:inline>
              </w:drawing>
            </w:r>
          </w:p>
        </w:tc>
        <w:tc>
          <w:tcPr>
            <w:tcW w:w="1260" w:type="pct"/>
            <w:vAlign w:val="center"/>
          </w:tcPr>
          <w:p>
            <w:pPr>
              <w:jc w:val="center"/>
              <w:outlineLvl w:val="9"/>
              <w:rPr>
                <w:rFonts w:hint="eastAsia" w:ascii="Times New Roman" w:hAnsi="Times New Roman" w:eastAsia="宋体" w:cs="Times New Roman"/>
                <w:b/>
                <w:bCs/>
                <w:color w:val="4F80BD"/>
                <w:sz w:val="24"/>
                <w:szCs w:val="28"/>
                <w:highlight w:val="none"/>
                <w:vertAlign w:val="baseline"/>
                <w:lang w:val="en-US" w:eastAsia="zh-CN"/>
              </w:rPr>
            </w:pPr>
            <w:r>
              <w:rPr>
                <w:rFonts w:hint="eastAsia" w:ascii="Times New Roman" w:hAnsi="Times New Roman" w:eastAsia="宋体" w:cs="Times New Roman"/>
                <w:b/>
                <w:bCs/>
                <w:color w:val="4F80BD"/>
                <w:sz w:val="24"/>
                <w:szCs w:val="28"/>
                <w:highlight w:val="none"/>
                <w:vertAlign w:val="baseline"/>
                <w:lang w:val="en-US" w:eastAsia="zh-CN"/>
              </w:rPr>
              <w:drawing>
                <wp:inline distT="0" distB="0" distL="114300" distR="114300">
                  <wp:extent cx="1129030" cy="683895"/>
                  <wp:effectExtent l="0" t="0" r="13970" b="1905"/>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49"/>
                          <a:stretch>
                            <a:fillRect/>
                          </a:stretch>
                        </pic:blipFill>
                        <pic:spPr>
                          <a:xfrm>
                            <a:off x="0" y="0"/>
                            <a:ext cx="1129030" cy="6838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1283" w:type="pct"/>
            <w:vAlign w:val="center"/>
          </w:tcPr>
          <w:p>
            <w:pPr>
              <w:jc w:val="center"/>
              <w:outlineLvl w:val="9"/>
              <w:rPr>
                <w:rFonts w:hint="default" w:ascii="Times New Roman" w:hAnsi="Times New Roman" w:eastAsia="宋体" w:cs="Times New Roman"/>
                <w:b/>
                <w:bCs/>
                <w:color w:val="4F80BD"/>
                <w:sz w:val="24"/>
                <w:szCs w:val="28"/>
                <w:highlight w:val="none"/>
                <w:vertAlign w:val="baseline"/>
                <w:lang w:val="en-US" w:eastAsia="zh-CN"/>
              </w:rPr>
            </w:pPr>
            <w:r>
              <w:rPr>
                <w:rFonts w:hint="eastAsia" w:ascii="Times New Roman" w:hAnsi="Times New Roman" w:eastAsia="宋体" w:cs="Times New Roman"/>
                <w:b/>
                <w:bCs/>
                <w:color w:val="4F80BD"/>
                <w:sz w:val="24"/>
                <w:szCs w:val="28"/>
                <w:highlight w:val="none"/>
                <w:vertAlign w:val="baseline"/>
                <w:lang w:val="en-US" w:eastAsia="zh-CN"/>
              </w:rPr>
              <w:t>英国</w:t>
            </w:r>
            <w:r>
              <w:rPr>
                <w:rFonts w:hint="default" w:ascii="Times New Roman" w:hAnsi="Times New Roman" w:eastAsia="宋体" w:cs="Times New Roman"/>
                <w:b/>
                <w:bCs/>
                <w:color w:val="4F80BD"/>
                <w:sz w:val="24"/>
                <w:szCs w:val="28"/>
                <w:highlight w:val="none"/>
                <w:vertAlign w:val="baseline"/>
                <w:lang w:val="en-US" w:eastAsia="zh-CN"/>
              </w:rPr>
              <w:t>：</w:t>
            </w:r>
            <w:r>
              <w:rPr>
                <w:rFonts w:hint="eastAsia" w:ascii="Times New Roman" w:hAnsi="Times New Roman" w:eastAsia="宋体" w:cs="Times New Roman"/>
                <w:b/>
                <w:bCs/>
                <w:color w:val="4F80BD"/>
                <w:sz w:val="24"/>
                <w:szCs w:val="28"/>
                <w:highlight w:val="none"/>
                <w:vertAlign w:val="baseline"/>
                <w:lang w:val="en-US" w:eastAsia="zh-CN"/>
              </w:rPr>
              <w:t>9</w:t>
            </w:r>
            <w:r>
              <w:rPr>
                <w:rFonts w:hint="default" w:ascii="Times New Roman" w:hAnsi="Times New Roman" w:eastAsia="宋体" w:cs="Times New Roman"/>
                <w:b/>
                <w:bCs/>
                <w:color w:val="4F80BD"/>
                <w:sz w:val="24"/>
                <w:szCs w:val="28"/>
                <w:highlight w:val="none"/>
                <w:vertAlign w:val="baseline"/>
                <w:lang w:val="en-US" w:eastAsia="zh-CN"/>
              </w:rPr>
              <w:t>人</w:t>
            </w:r>
          </w:p>
        </w:tc>
        <w:tc>
          <w:tcPr>
            <w:tcW w:w="1283" w:type="pct"/>
            <w:vAlign w:val="center"/>
          </w:tcPr>
          <w:p>
            <w:pPr>
              <w:jc w:val="center"/>
              <w:outlineLvl w:val="9"/>
              <w:rPr>
                <w:rFonts w:hint="default" w:ascii="Times New Roman" w:hAnsi="Times New Roman" w:eastAsia="宋体" w:cs="Times New Roman"/>
                <w:b/>
                <w:bCs/>
                <w:color w:val="4F80BD"/>
                <w:sz w:val="24"/>
                <w:szCs w:val="28"/>
                <w:highlight w:val="none"/>
                <w:vertAlign w:val="baseline"/>
                <w:lang w:val="en-US" w:eastAsia="zh-CN"/>
              </w:rPr>
            </w:pPr>
            <w:r>
              <w:rPr>
                <w:rFonts w:hint="eastAsia" w:ascii="Times New Roman" w:hAnsi="Times New Roman" w:eastAsia="宋体" w:cs="Times New Roman"/>
                <w:b/>
                <w:bCs/>
                <w:color w:val="4F80BD"/>
                <w:sz w:val="24"/>
                <w:szCs w:val="28"/>
                <w:highlight w:val="none"/>
                <w:vertAlign w:val="baseline"/>
                <w:lang w:val="en-US" w:eastAsia="zh-CN"/>
              </w:rPr>
              <w:t>澳大利亚</w:t>
            </w:r>
            <w:r>
              <w:rPr>
                <w:rFonts w:hint="default" w:ascii="Times New Roman" w:hAnsi="Times New Roman" w:eastAsia="宋体" w:cs="Times New Roman"/>
                <w:b/>
                <w:bCs/>
                <w:color w:val="4F80BD"/>
                <w:sz w:val="24"/>
                <w:szCs w:val="28"/>
                <w:highlight w:val="none"/>
                <w:vertAlign w:val="baseline"/>
                <w:lang w:val="en-US" w:eastAsia="zh-CN"/>
              </w:rPr>
              <w:t>：</w:t>
            </w:r>
            <w:r>
              <w:rPr>
                <w:rFonts w:hint="eastAsia" w:ascii="Times New Roman" w:hAnsi="Times New Roman" w:eastAsia="宋体" w:cs="Times New Roman"/>
                <w:b/>
                <w:bCs/>
                <w:color w:val="4F80BD"/>
                <w:sz w:val="24"/>
                <w:szCs w:val="28"/>
                <w:highlight w:val="none"/>
                <w:vertAlign w:val="baseline"/>
                <w:lang w:val="en-US" w:eastAsia="zh-CN"/>
              </w:rPr>
              <w:t>4</w:t>
            </w:r>
            <w:r>
              <w:rPr>
                <w:rFonts w:hint="default" w:ascii="Times New Roman" w:hAnsi="Times New Roman" w:eastAsia="宋体" w:cs="Times New Roman"/>
                <w:b/>
                <w:bCs/>
                <w:color w:val="4F80BD"/>
                <w:sz w:val="24"/>
                <w:szCs w:val="28"/>
                <w:highlight w:val="none"/>
                <w:vertAlign w:val="baseline"/>
                <w:lang w:val="en-US" w:eastAsia="zh-CN"/>
              </w:rPr>
              <w:t>人</w:t>
            </w:r>
          </w:p>
        </w:tc>
        <w:tc>
          <w:tcPr>
            <w:tcW w:w="1172" w:type="pct"/>
            <w:vAlign w:val="center"/>
          </w:tcPr>
          <w:p>
            <w:pPr>
              <w:jc w:val="center"/>
              <w:outlineLvl w:val="9"/>
              <w:rPr>
                <w:rFonts w:hint="default" w:ascii="Times New Roman" w:hAnsi="Times New Roman" w:eastAsia="宋体" w:cs="Times New Roman"/>
                <w:b/>
                <w:bCs/>
                <w:color w:val="4F80BD"/>
                <w:sz w:val="24"/>
                <w:szCs w:val="28"/>
                <w:highlight w:val="none"/>
                <w:vertAlign w:val="baseline"/>
                <w:lang w:val="en-US" w:eastAsia="zh-CN"/>
              </w:rPr>
            </w:pPr>
            <w:r>
              <w:rPr>
                <w:rFonts w:hint="eastAsia" w:ascii="Times New Roman" w:hAnsi="Times New Roman" w:eastAsia="宋体" w:cs="Times New Roman"/>
                <w:b/>
                <w:bCs/>
                <w:color w:val="4F80BD"/>
                <w:sz w:val="24"/>
                <w:szCs w:val="28"/>
                <w:highlight w:val="none"/>
                <w:vertAlign w:val="baseline"/>
                <w:lang w:val="en-US" w:eastAsia="zh-CN"/>
              </w:rPr>
              <w:t>中国香港</w:t>
            </w:r>
            <w:r>
              <w:rPr>
                <w:rFonts w:hint="default" w:ascii="Times New Roman" w:hAnsi="Times New Roman" w:eastAsia="宋体" w:cs="Times New Roman"/>
                <w:b/>
                <w:bCs/>
                <w:color w:val="4F80BD"/>
                <w:sz w:val="24"/>
                <w:szCs w:val="28"/>
                <w:highlight w:val="none"/>
                <w:vertAlign w:val="baseline"/>
                <w:lang w:val="en-US" w:eastAsia="zh-CN"/>
              </w:rPr>
              <w:t>：</w:t>
            </w:r>
            <w:r>
              <w:rPr>
                <w:rFonts w:hint="eastAsia" w:ascii="Times New Roman" w:hAnsi="Times New Roman" w:eastAsia="宋体" w:cs="Times New Roman"/>
                <w:b/>
                <w:bCs/>
                <w:color w:val="4F80BD"/>
                <w:sz w:val="24"/>
                <w:szCs w:val="28"/>
                <w:highlight w:val="none"/>
                <w:vertAlign w:val="baseline"/>
                <w:lang w:val="en-US" w:eastAsia="zh-CN"/>
              </w:rPr>
              <w:t>2</w:t>
            </w:r>
            <w:r>
              <w:rPr>
                <w:rFonts w:hint="default" w:ascii="Times New Roman" w:hAnsi="Times New Roman" w:eastAsia="宋体" w:cs="Times New Roman"/>
                <w:b/>
                <w:bCs/>
                <w:color w:val="4F80BD"/>
                <w:sz w:val="24"/>
                <w:szCs w:val="28"/>
                <w:highlight w:val="none"/>
                <w:vertAlign w:val="baseline"/>
                <w:lang w:val="en-US" w:eastAsia="zh-CN"/>
              </w:rPr>
              <w:t>人</w:t>
            </w:r>
          </w:p>
        </w:tc>
        <w:tc>
          <w:tcPr>
            <w:tcW w:w="1260" w:type="pct"/>
            <w:vAlign w:val="center"/>
          </w:tcPr>
          <w:p>
            <w:pPr>
              <w:jc w:val="center"/>
              <w:outlineLvl w:val="9"/>
              <w:rPr>
                <w:rFonts w:hint="default" w:ascii="Times New Roman" w:hAnsi="Times New Roman" w:eastAsia="宋体" w:cs="Times New Roman"/>
                <w:b/>
                <w:bCs/>
                <w:color w:val="4F80BD"/>
                <w:sz w:val="24"/>
                <w:szCs w:val="28"/>
                <w:highlight w:val="none"/>
                <w:vertAlign w:val="baseline"/>
                <w:lang w:val="en-US" w:eastAsia="zh-CN"/>
              </w:rPr>
            </w:pPr>
            <w:r>
              <w:rPr>
                <w:rFonts w:hint="eastAsia" w:ascii="Times New Roman" w:hAnsi="Times New Roman" w:eastAsia="宋体" w:cs="Times New Roman"/>
                <w:b/>
                <w:bCs/>
                <w:color w:val="4F80BD"/>
                <w:sz w:val="24"/>
                <w:szCs w:val="28"/>
                <w:highlight w:val="none"/>
                <w:vertAlign w:val="baseline"/>
                <w:lang w:val="en-US" w:eastAsia="zh-CN"/>
              </w:rPr>
              <w:t>中国澳门：2人</w:t>
            </w:r>
          </w:p>
        </w:tc>
      </w:tr>
    </w:tbl>
    <w:p>
      <w:pPr>
        <w:spacing w:line="360" w:lineRule="auto"/>
        <w:jc w:val="center"/>
        <w:rPr>
          <w:rFonts w:hint="default" w:ascii="Times New Roman" w:hAnsi="Times New Roman" w:cs="Times New Roman"/>
          <w:color w:val="0F6FC6"/>
        </w:rPr>
      </w:pPr>
      <w:r>
        <w:rPr>
          <w:rFonts w:hint="default" w:ascii="Times New Roman" w:hAnsi="Times New Roman" w:eastAsia="黑体" w:cs="Times New Roman"/>
          <w:b/>
          <w:color w:val="0F6FC6"/>
          <w:sz w:val="21"/>
          <w:u w:color="auto"/>
        </w:rPr>
        <w:t>图2-6  2023届毕业生出国（境）留学</w:t>
      </w:r>
      <w:r>
        <w:rPr>
          <w:rFonts w:hint="eastAsia" w:eastAsia="黑体" w:cs="Times New Roman"/>
          <w:b/>
          <w:color w:val="0F6FC6"/>
          <w:sz w:val="21"/>
          <w:u w:color="auto"/>
          <w:lang w:val="en-US" w:eastAsia="zh-CN"/>
        </w:rPr>
        <w:t>地区</w:t>
      </w:r>
      <w:r>
        <w:rPr>
          <w:rFonts w:hint="default" w:ascii="Times New Roman" w:hAnsi="Times New Roman" w:eastAsia="黑体" w:cs="Times New Roman"/>
          <w:b/>
          <w:color w:val="0F6FC6"/>
          <w:sz w:val="21"/>
          <w:u w:color="auto"/>
        </w:rPr>
        <w:t>分布</w:t>
      </w:r>
    </w:p>
    <w:p>
      <w:pPr>
        <w:spacing w:after="100" w:line="240" w:lineRule="auto"/>
        <w:rPr>
          <w:rFonts w:hint="eastAsia" w:ascii="Times New Roman" w:hAnsi="Times New Roman" w:eastAsia="宋体" w:cs="Times New Roman"/>
          <w:color w:val="0F6FC6"/>
          <w:lang w:eastAsia="zh-CN"/>
        </w:rPr>
      </w:pPr>
      <w:r>
        <w:rPr>
          <w:rFonts w:hint="default" w:ascii="Times New Roman" w:hAnsi="Times New Roman" w:eastAsia="宋体" w:cs="Times New Roman"/>
          <w:color w:val="0F6FC6"/>
          <w:sz w:val="18"/>
          <w:u w:color="auto"/>
        </w:rPr>
        <w:t>数据来源：</w:t>
      </w:r>
      <w:r>
        <w:rPr>
          <w:rFonts w:hint="eastAsia" w:ascii="Times New Roman" w:hAnsi="Times New Roman" w:eastAsia="宋体" w:cs="Times New Roman"/>
          <w:color w:val="0F6FC6"/>
          <w:sz w:val="18"/>
          <w:u w:color="auto"/>
          <w:lang w:eastAsia="zh-CN"/>
        </w:rPr>
        <w:t>来自晋中学院就业信息管理系统。</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b w:val="0"/>
          <w:color w:val="000000"/>
          <w:sz w:val="24"/>
          <w:highlight w:val="none"/>
          <w:u w:color="auto"/>
        </w:rPr>
        <w:t>毕业生出国（境）留学院校主要为</w:t>
      </w:r>
      <w:r>
        <w:rPr>
          <w:rFonts w:hint="eastAsia" w:cs="Times New Roman"/>
          <w:b w:val="0"/>
          <w:color w:val="000000"/>
          <w:sz w:val="24"/>
          <w:highlight w:val="none"/>
          <w:u w:color="auto"/>
          <w:lang w:val="en-US" w:eastAsia="zh-CN"/>
        </w:rPr>
        <w:t>诺丁汉大学、爱丁堡大学、香港岭南大学</w:t>
      </w:r>
      <w:r>
        <w:rPr>
          <w:rFonts w:hint="default" w:ascii="Times New Roman" w:hAnsi="Times New Roman" w:eastAsia="宋体" w:cs="Times New Roman"/>
          <w:b w:val="0"/>
          <w:color w:val="000000"/>
          <w:sz w:val="24"/>
          <w:highlight w:val="none"/>
          <w:u w:color="auto"/>
        </w:rPr>
        <w:t>等，具体留学院校分布如下所示。</w:t>
      </w:r>
    </w:p>
    <w:p>
      <w:pPr>
        <w:spacing w:line="360" w:lineRule="auto"/>
        <w:jc w:val="center"/>
        <w:rPr>
          <w:rFonts w:hint="default" w:ascii="Times New Roman" w:hAnsi="Times New Roman" w:eastAsia="黑体" w:cs="Times New Roman"/>
          <w:b/>
          <w:color w:val="0F6FC6"/>
          <w:sz w:val="21"/>
          <w:u w:color="auto"/>
        </w:rPr>
      </w:pPr>
      <w:r>
        <w:rPr>
          <w:rFonts w:hint="default" w:ascii="Times New Roman" w:hAnsi="Times New Roman" w:eastAsia="黑体" w:cs="Times New Roman"/>
          <w:b/>
          <w:color w:val="0F6FC6"/>
          <w:sz w:val="21"/>
          <w:u w:color="auto"/>
        </w:rPr>
        <w:t>表2-6  2023届毕业生出国（境）留学院校流向</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905"/>
        <w:gridCol w:w="4719"/>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05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序号</w:t>
            </w:r>
          </w:p>
        </w:tc>
        <w:tc>
          <w:tcPr>
            <w:tcW w:w="2620" w:type="pct"/>
            <w:shd w:val="clear" w:color="auto" w:fill="0F6FC6"/>
            <w:vAlign w:val="center"/>
          </w:tcPr>
          <w:p>
            <w:pPr>
              <w:jc w:val="center"/>
              <w:rPr>
                <w:rFonts w:hint="default" w:ascii="Times New Roman" w:hAnsi="Times New Roman" w:cs="Times New Roman"/>
              </w:rPr>
            </w:pPr>
            <w:r>
              <w:rPr>
                <w:rFonts w:hint="eastAsia" w:ascii="Times New Roman" w:hAnsi="Times New Roman" w:cs="Times New Roman"/>
                <w:b/>
                <w:color w:val="FFFFFF"/>
                <w:sz w:val="22"/>
                <w:u w:color="auto"/>
                <w:lang w:val="en-US" w:eastAsia="zh-CN"/>
              </w:rPr>
              <w:t>留学</w:t>
            </w:r>
            <w:r>
              <w:rPr>
                <w:rFonts w:hint="default" w:ascii="Times New Roman" w:hAnsi="Times New Roman" w:eastAsia="宋体" w:cs="Times New Roman"/>
                <w:b/>
                <w:color w:val="FFFFFF"/>
                <w:sz w:val="22"/>
                <w:u w:color="auto"/>
              </w:rPr>
              <w:t>名称</w:t>
            </w:r>
          </w:p>
        </w:tc>
        <w:tc>
          <w:tcPr>
            <w:tcW w:w="132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62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诺丁汉大学</w:t>
            </w:r>
          </w:p>
        </w:tc>
        <w:tc>
          <w:tcPr>
            <w:tcW w:w="132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62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爱丁堡大学</w:t>
            </w:r>
          </w:p>
        </w:tc>
        <w:tc>
          <w:tcPr>
            <w:tcW w:w="132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262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香港岭南大学</w:t>
            </w:r>
          </w:p>
        </w:tc>
        <w:tc>
          <w:tcPr>
            <w:tcW w:w="132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62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澳门城市大学</w:t>
            </w:r>
          </w:p>
        </w:tc>
        <w:tc>
          <w:tcPr>
            <w:tcW w:w="132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262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澳门科技大学</w:t>
            </w:r>
          </w:p>
        </w:tc>
        <w:tc>
          <w:tcPr>
            <w:tcW w:w="132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262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格拉斯哥大学</w:t>
            </w:r>
          </w:p>
        </w:tc>
        <w:tc>
          <w:tcPr>
            <w:tcW w:w="132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262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昆士兰大学</w:t>
            </w:r>
          </w:p>
        </w:tc>
        <w:tc>
          <w:tcPr>
            <w:tcW w:w="132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262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墨尔本大学</w:t>
            </w:r>
          </w:p>
        </w:tc>
        <w:tc>
          <w:tcPr>
            <w:tcW w:w="132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62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墨尔本皇家理工</w:t>
            </w:r>
          </w:p>
        </w:tc>
        <w:tc>
          <w:tcPr>
            <w:tcW w:w="132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262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庞贝法布拉大学</w:t>
            </w:r>
          </w:p>
        </w:tc>
        <w:tc>
          <w:tcPr>
            <w:tcW w:w="132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262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悉尼大学</w:t>
            </w:r>
          </w:p>
        </w:tc>
        <w:tc>
          <w:tcPr>
            <w:tcW w:w="132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62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谢菲尔德大学</w:t>
            </w:r>
          </w:p>
        </w:tc>
        <w:tc>
          <w:tcPr>
            <w:tcW w:w="132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262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英国利兹大学</w:t>
            </w:r>
          </w:p>
        </w:tc>
        <w:tc>
          <w:tcPr>
            <w:tcW w:w="132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5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262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约克大学</w:t>
            </w:r>
          </w:p>
        </w:tc>
        <w:tc>
          <w:tcPr>
            <w:tcW w:w="132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w:t>
            </w:r>
          </w:p>
        </w:tc>
      </w:tr>
    </w:tbl>
    <w:p>
      <w:pPr>
        <w:spacing w:after="100" w:line="240" w:lineRule="auto"/>
        <w:rPr>
          <w:rFonts w:hint="eastAsia" w:ascii="Times New Roman" w:hAnsi="Times New Roman" w:eastAsia="宋体" w:cs="Times New Roman"/>
          <w:color w:val="0F6FC6"/>
          <w:lang w:eastAsia="zh-CN"/>
        </w:rPr>
      </w:pPr>
      <w:r>
        <w:rPr>
          <w:rFonts w:hint="default" w:ascii="Times New Roman" w:hAnsi="Times New Roman" w:eastAsia="宋体" w:cs="Times New Roman"/>
          <w:color w:val="0F6FC6"/>
          <w:sz w:val="18"/>
          <w:u w:color="auto"/>
        </w:rPr>
        <w:t>数据来源：</w:t>
      </w:r>
      <w:r>
        <w:rPr>
          <w:rFonts w:hint="eastAsia" w:ascii="Times New Roman" w:hAnsi="Times New Roman" w:eastAsia="宋体" w:cs="Times New Roman"/>
          <w:color w:val="0F6FC6"/>
          <w:sz w:val="18"/>
          <w:u w:color="auto"/>
          <w:lang w:eastAsia="zh-CN"/>
        </w:rPr>
        <w:t>来自晋中学院就业信息管理系统。</w:t>
      </w:r>
    </w:p>
    <w:p>
      <w:pPr>
        <w:numPr>
          <w:ilvl w:val="2"/>
          <w:numId w:val="19"/>
        </w:numPr>
        <w:shd w:val="clear" w:color="auto" w:fill="FFFFFF"/>
        <w:spacing w:before="15" w:after="15" w:line="360" w:lineRule="auto"/>
        <w:jc w:val="left"/>
        <w:outlineLvl w:val="2"/>
        <w:rPr>
          <w:rFonts w:hint="default" w:ascii="Times New Roman" w:hAnsi="Times New Roman" w:eastAsia="黑体" w:cs="Times New Roman"/>
          <w:b/>
          <w:color w:val="0F6FC6"/>
          <w:sz w:val="28"/>
          <w:u w:color="auto"/>
          <w:lang w:val="en-US" w:eastAsia="zh-CN"/>
        </w:rPr>
      </w:pPr>
      <w:bookmarkStart w:id="24" w:name="_Toc29213"/>
      <w:bookmarkStart w:id="25" w:name="_Toc3980"/>
      <w:r>
        <w:rPr>
          <w:rFonts w:hint="default" w:ascii="Times New Roman" w:hAnsi="Times New Roman" w:eastAsia="黑体" w:cs="Times New Roman"/>
          <w:b/>
          <w:color w:val="0F6FC6"/>
          <w:sz w:val="28"/>
          <w:u w:color="auto"/>
          <w:lang w:val="en-US" w:eastAsia="zh-CN"/>
        </w:rPr>
        <w:t>（二）留学专业相关度和满意度</w:t>
      </w:r>
      <w:bookmarkEnd w:id="24"/>
      <w:bookmarkEnd w:id="2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学校2023届毕业生留学专业相关度为9</w:t>
      </w:r>
      <w:r>
        <w:rPr>
          <w:rFonts w:hint="eastAsia" w:ascii="Times New Roman" w:hAnsi="Times New Roman" w:eastAsia="宋体" w:cs="Times New Roman"/>
          <w:b w:val="0"/>
          <w:color w:val="000000"/>
          <w:sz w:val="24"/>
          <w:u w:color="auto"/>
          <w:lang w:val="en-US" w:eastAsia="zh-CN"/>
        </w:rPr>
        <w:t>5.24</w:t>
      </w:r>
      <w:r>
        <w:rPr>
          <w:rFonts w:hint="default" w:ascii="Times New Roman" w:hAnsi="Times New Roman" w:eastAsia="宋体" w:cs="Times New Roman"/>
          <w:b w:val="0"/>
          <w:color w:val="000000"/>
          <w:sz w:val="24"/>
          <w:u w:color="auto"/>
        </w:rPr>
        <w:t>%，留学满意度为100.0</w:t>
      </w:r>
      <w:r>
        <w:rPr>
          <w:rFonts w:hint="eastAsia" w:ascii="Times New Roman" w:hAnsi="Times New Roman" w:eastAsia="宋体"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%，均处于较高水平，表明毕业生对本专业的认可度较高。</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41190" cy="2270760"/>
            <wp:effectExtent l="0" t="0" r="16510" b="15240"/>
            <wp:docPr id="8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spacing w:line="360" w:lineRule="auto"/>
        <w:jc w:val="center"/>
        <w:rPr>
          <w:rFonts w:hint="default" w:ascii="Times New Roman" w:hAnsi="Times New Roman" w:cs="Times New Roman"/>
          <w:color w:val="0F6FC6"/>
        </w:rPr>
      </w:pPr>
      <w:r>
        <w:rPr>
          <w:rFonts w:hint="default" w:ascii="Times New Roman" w:hAnsi="Times New Roman" w:eastAsia="黑体" w:cs="Times New Roman"/>
          <w:b/>
          <w:color w:val="0F6FC6"/>
          <w:sz w:val="21"/>
          <w:u w:color="auto"/>
        </w:rPr>
        <w:t>图2-7  2023届毕业生留学专业相关度分布</w:t>
      </w:r>
    </w:p>
    <w:p>
      <w:pPr>
        <w:spacing w:after="100" w:line="240" w:lineRule="auto"/>
        <w:rPr>
          <w:rFonts w:hint="eastAsia" w:ascii="Times New Roman" w:hAnsi="Times New Roman" w:eastAsia="宋体" w:cs="Times New Roman"/>
          <w:color w:val="0F6FC6"/>
          <w:lang w:eastAsia="zh-CN"/>
        </w:rPr>
      </w:pPr>
      <w:r>
        <w:rPr>
          <w:rFonts w:hint="eastAsia" w:cs="Times New Roman"/>
          <w:color w:val="0F6FC6"/>
          <w:sz w:val="18"/>
          <w:u w:color="auto"/>
          <w:lang w:eastAsia="zh-CN"/>
        </w:rPr>
        <w:t>数据来源：第三方机构叁壹科技（山西）有限公司-2023届毕业生就业与培养质量调查。</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19905" cy="2221865"/>
            <wp:effectExtent l="0" t="0" r="4445" b="6985"/>
            <wp:docPr id="8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spacing w:line="360" w:lineRule="auto"/>
        <w:jc w:val="center"/>
        <w:rPr>
          <w:rFonts w:hint="default" w:ascii="Times New Roman" w:hAnsi="Times New Roman" w:cs="Times New Roman"/>
          <w:color w:val="0F6FC6"/>
        </w:rPr>
      </w:pPr>
      <w:r>
        <w:rPr>
          <w:rFonts w:hint="default" w:ascii="Times New Roman" w:hAnsi="Times New Roman" w:eastAsia="黑体" w:cs="Times New Roman"/>
          <w:b/>
          <w:color w:val="0F6FC6"/>
          <w:sz w:val="21"/>
          <w:u w:color="auto"/>
        </w:rPr>
        <w:t>图2-8  2023届毕业生留学满意度分布</w:t>
      </w:r>
    </w:p>
    <w:p>
      <w:pPr>
        <w:spacing w:after="100" w:line="240" w:lineRule="auto"/>
        <w:rPr>
          <w:rFonts w:hint="eastAsia" w:ascii="Times New Roman" w:hAnsi="Times New Roman" w:eastAsia="宋体" w:cs="Times New Roman"/>
          <w:color w:val="0F6FC6"/>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19"/>
        </w:numPr>
        <w:shd w:val="clear" w:color="auto" w:fill="FFFFFF"/>
        <w:spacing w:before="15" w:after="15" w:line="360" w:lineRule="auto"/>
        <w:jc w:val="left"/>
        <w:outlineLvl w:val="2"/>
        <w:rPr>
          <w:rFonts w:hint="default" w:ascii="Times New Roman" w:hAnsi="Times New Roman" w:eastAsia="黑体" w:cs="Times New Roman"/>
          <w:b/>
          <w:color w:val="0F6FC6"/>
          <w:sz w:val="28"/>
          <w:u w:color="auto"/>
          <w:lang w:val="en-US" w:eastAsia="zh-CN"/>
        </w:rPr>
      </w:pPr>
      <w:bookmarkStart w:id="26" w:name="_Toc32065"/>
      <w:bookmarkStart w:id="27" w:name="_Toc3408"/>
      <w:r>
        <w:rPr>
          <w:rFonts w:hint="default" w:ascii="Times New Roman" w:hAnsi="Times New Roman" w:eastAsia="黑体" w:cs="Times New Roman"/>
          <w:b/>
          <w:color w:val="0F6FC6"/>
          <w:sz w:val="28"/>
          <w:u w:color="auto"/>
          <w:lang w:val="en-US" w:eastAsia="zh-CN"/>
        </w:rPr>
        <w:t>（三）留学原因</w:t>
      </w:r>
      <w:bookmarkEnd w:id="26"/>
      <w:bookmarkEnd w:id="2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学校2023届毕业生选择留学的主要原因是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获得更好的教育教学条件、科研氛围</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r>
        <w:rPr>
          <w:rFonts w:hint="eastAsia" w:ascii="Times New Roman" w:hAnsi="Times New Roman" w:eastAsia="宋体" w:cs="Times New Roman"/>
          <w:b w:val="0"/>
          <w:color w:val="000000"/>
          <w:sz w:val="24"/>
          <w:u w:color="auto"/>
          <w:lang w:val="en-US" w:eastAsia="zh-CN"/>
        </w:rPr>
        <w:t>47.62</w:t>
      </w:r>
      <w:r>
        <w:rPr>
          <w:rFonts w:hint="default" w:ascii="Times New Roman" w:hAnsi="Times New Roman" w:eastAsia="宋体" w:cs="Times New Roman"/>
          <w:b w:val="0"/>
          <w:color w:val="000000"/>
          <w:sz w:val="24"/>
          <w:u w:color="auto"/>
        </w:rPr>
        <w:t>%），其次为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增加择业资本，增强就业竞争力</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r>
        <w:rPr>
          <w:rFonts w:hint="eastAsia" w:ascii="Times New Roman" w:hAnsi="Times New Roman" w:eastAsia="宋体" w:cs="Times New Roman"/>
          <w:b w:val="0"/>
          <w:color w:val="000000"/>
          <w:sz w:val="24"/>
          <w:u w:color="auto"/>
          <w:lang w:val="en-US" w:eastAsia="zh-CN"/>
        </w:rPr>
        <w:t>28.57</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219065" cy="2736215"/>
            <wp:effectExtent l="0" t="0" r="635" b="6985"/>
            <wp:docPr id="10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spacing w:line="360" w:lineRule="auto"/>
        <w:jc w:val="center"/>
        <w:rPr>
          <w:rFonts w:hint="default" w:ascii="Times New Roman" w:hAnsi="Times New Roman" w:cs="Times New Roman"/>
          <w:color w:val="4F80BD"/>
        </w:rPr>
      </w:pPr>
      <w:r>
        <w:rPr>
          <w:rFonts w:hint="default" w:ascii="Times New Roman" w:hAnsi="Times New Roman" w:eastAsia="黑体" w:cs="Times New Roman"/>
          <w:b/>
          <w:color w:val="4F80BD"/>
          <w:sz w:val="21"/>
          <w:u w:color="auto"/>
        </w:rPr>
        <w:t>图2-9  2023届毕业生留学原因分布（单位：%）</w:t>
      </w:r>
    </w:p>
    <w:p>
      <w:pPr>
        <w:spacing w:after="100" w:line="240" w:lineRule="auto"/>
        <w:rPr>
          <w:rFonts w:hint="eastAsia" w:ascii="Times New Roman" w:hAnsi="Times New Roman" w:eastAsia="宋体" w:cs="Times New Roman"/>
          <w:color w:val="4F80BD"/>
          <w:lang w:eastAsia="zh-CN"/>
        </w:rPr>
      </w:pPr>
      <w:r>
        <w:rPr>
          <w:rFonts w:hint="eastAsia" w:cs="Times New Roman"/>
          <w:color w:val="4F80BD"/>
          <w:sz w:val="18"/>
          <w:u w:color="auto"/>
          <w:lang w:eastAsia="zh-CN"/>
        </w:rPr>
        <w:t>数据来源：第三方机构叁壹科技（山西）有限公司-2023届毕业生就业与培养质量调查。</w:t>
      </w:r>
    </w:p>
    <w:p>
      <w:pPr>
        <w:numPr>
          <w:ilvl w:val="1"/>
          <w:numId w:val="21"/>
        </w:numPr>
        <w:shd w:val="clear" w:color="auto" w:fill="FFFFFF"/>
        <w:spacing w:before="15" w:after="15" w:line="360" w:lineRule="auto"/>
        <w:jc w:val="left"/>
        <w:outlineLvl w:val="1"/>
        <w:rPr>
          <w:rFonts w:hint="default" w:ascii="Times New Roman" w:hAnsi="Times New Roman" w:cs="Times New Roman"/>
        </w:rPr>
      </w:pPr>
      <w:bookmarkStart w:id="28" w:name="_Toc27584"/>
      <w:r>
        <w:rPr>
          <w:rFonts w:hint="eastAsia" w:ascii="Times New Roman" w:hAnsi="Times New Roman" w:eastAsia="黑体" w:cs="Times New Roman"/>
          <w:b/>
          <w:color w:val="0F6FC6"/>
          <w:sz w:val="30"/>
          <w:u w:color="auto"/>
          <w:lang w:val="en-US" w:eastAsia="zh-CN"/>
        </w:rPr>
        <w:t>五</w:t>
      </w:r>
      <w:r>
        <w:rPr>
          <w:rFonts w:hint="default" w:ascii="Times New Roman" w:hAnsi="Times New Roman" w:eastAsia="黑体" w:cs="Times New Roman"/>
          <w:b/>
          <w:color w:val="0F6FC6"/>
          <w:sz w:val="30"/>
          <w:u w:color="auto"/>
        </w:rPr>
        <w:t>、创业情况分析</w:t>
      </w:r>
      <w:bookmarkEnd w:id="2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创新创业是推动国家经济和社会发展的不竭动力，国家鼓励各大高校将创新创业教育融入到人才培养的全过程，鼓励学生创新创业，全力做好毕业生创业指导和支持工作。进一步对毕业生自主创业情况进行调查，可以为学校优化创新创业教育与指导服务工作提供参考方向。</w:t>
      </w:r>
    </w:p>
    <w:p>
      <w:pPr>
        <w:numPr>
          <w:ilvl w:val="2"/>
          <w:numId w:val="22"/>
        </w:numPr>
        <w:shd w:val="clear" w:color="auto" w:fill="FFFFFF"/>
        <w:spacing w:before="15" w:after="15" w:line="360" w:lineRule="auto"/>
        <w:jc w:val="left"/>
        <w:outlineLvl w:val="2"/>
        <w:rPr>
          <w:rFonts w:hint="default" w:ascii="Times New Roman" w:hAnsi="Times New Roman" w:cs="Times New Roman"/>
        </w:rPr>
      </w:pPr>
      <w:bookmarkStart w:id="29" w:name="_Toc11272"/>
      <w:r>
        <w:rPr>
          <w:rFonts w:hint="default" w:ascii="Times New Roman" w:hAnsi="Times New Roman" w:eastAsia="黑体" w:cs="Times New Roman"/>
          <w:b/>
          <w:color w:val="0F6FC6"/>
          <w:sz w:val="28"/>
          <w:u w:color="auto"/>
        </w:rPr>
        <w:t>（一）创业基本情况</w:t>
      </w:r>
      <w:bookmarkEnd w:id="2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学校2023届毕业生中，共有83人选择自主创业（</w:t>
      </w:r>
      <w:r>
        <w:rPr>
          <w:rFonts w:hint="eastAsia" w:ascii="Times New Roman" w:hAnsi="Times New Roman" w:cs="Times New Roman"/>
          <w:b w:val="0"/>
          <w:color w:val="000000"/>
          <w:sz w:val="24"/>
          <w:u w:color="auto"/>
          <w:lang w:val="en-US" w:eastAsia="zh-CN"/>
        </w:rPr>
        <w:t>1.78</w:t>
      </w:r>
      <w:r>
        <w:rPr>
          <w:rFonts w:hint="default" w:ascii="Times New Roman" w:hAnsi="Times New Roman" w:eastAsia="宋体" w:cs="Times New Roman"/>
          <w:b w:val="0"/>
          <w:color w:val="000000"/>
          <w:sz w:val="24"/>
          <w:u w:color="auto"/>
        </w:rPr>
        <w:t>%），创业行业主要集中在</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教育</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（45.24%），创业单位规模主要集中在</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10人及以下</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（61.9</w:t>
      </w:r>
      <w:r>
        <w:rPr>
          <w:rFonts w:hint="eastAsia" w:ascii="Times New Roman" w:hAnsi="Times New Roman"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drawing>
          <wp:inline distT="0" distB="0" distL="114300" distR="114300">
            <wp:extent cx="4423410" cy="2152650"/>
            <wp:effectExtent l="0" t="0" r="0" b="0"/>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53"/>
                    <a:stretch>
                      <a:fillRect/>
                    </a:stretch>
                  </pic:blipFill>
                  <pic:spPr>
                    <a:xfrm>
                      <a:off x="0" y="0"/>
                      <a:ext cx="4423410" cy="2152650"/>
                    </a:xfrm>
                    <a:prstGeom prst="rect">
                      <a:avLst/>
                    </a:prstGeom>
                    <a:noFill/>
                    <a:ln>
                      <a:noFill/>
                    </a:ln>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w:t>
      </w:r>
      <w:r>
        <w:rPr>
          <w:rFonts w:hint="eastAsia" w:ascii="Times New Roman" w:hAnsi="Times New Roman" w:eastAsia="宋体" w:cs="Times New Roman"/>
          <w:b/>
          <w:color w:val="0F6FC6"/>
          <w:sz w:val="21"/>
          <w:u w:color="auto"/>
          <w:lang w:val="en-US" w:eastAsia="zh-CN"/>
        </w:rPr>
        <w:t>10</w:t>
      </w:r>
      <w:r>
        <w:rPr>
          <w:rFonts w:hint="default" w:ascii="Times New Roman" w:hAnsi="Times New Roman" w:eastAsia="宋体" w:cs="Times New Roman"/>
          <w:b/>
          <w:color w:val="0F6FC6"/>
          <w:sz w:val="21"/>
          <w:u w:color="auto"/>
        </w:rPr>
        <w:t xml:space="preserve">  2023届毕业生自主创业基本情况分布</w:t>
      </w:r>
    </w:p>
    <w:p>
      <w:pPr>
        <w:spacing w:after="100" w:line="240" w:lineRule="auto"/>
        <w:rPr>
          <w:rFonts w:hint="default" w:ascii="Times New Roman" w:hAnsi="Times New Roman" w:eastAsia="宋体" w:cs="Times New Roman"/>
          <w:color w:val="0F6FC6"/>
          <w:sz w:val="18"/>
          <w:u w:color="auto"/>
        </w:rPr>
      </w:pPr>
      <w:r>
        <w:rPr>
          <w:rFonts w:hint="default" w:ascii="Times New Roman" w:hAnsi="Times New Roman" w:eastAsia="宋体" w:cs="Times New Roman"/>
          <w:color w:val="0F6FC6"/>
          <w:sz w:val="18"/>
          <w:u w:color="auto"/>
        </w:rPr>
        <w:t>数据来源：</w:t>
      </w:r>
      <w:r>
        <w:rPr>
          <w:rFonts w:hint="eastAsia" w:cs="Times New Roman"/>
          <w:color w:val="0F6FC6"/>
          <w:sz w:val="18"/>
          <w:u w:color="auto"/>
          <w:lang w:val="en-US" w:eastAsia="zh-CN"/>
        </w:rPr>
        <w:t>1、创业人数</w:t>
      </w:r>
      <w:r>
        <w:rPr>
          <w:rFonts w:hint="default" w:ascii="Times New Roman" w:hAnsi="Times New Roman" w:eastAsia="宋体" w:cs="Times New Roman"/>
          <w:color w:val="0F6FC6"/>
          <w:sz w:val="18"/>
          <w:u w:color="auto"/>
        </w:rPr>
        <w:t>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keepNext w:val="0"/>
        <w:keepLines w:val="0"/>
        <w:pageBreakBefore w:val="0"/>
        <w:widowControl w:val="0"/>
        <w:kinsoku/>
        <w:wordWrap/>
        <w:overflowPunct/>
        <w:topLinePunct w:val="0"/>
        <w:autoSpaceDE/>
        <w:autoSpaceDN/>
        <w:bidi w:val="0"/>
        <w:adjustRightInd/>
        <w:snapToGrid/>
        <w:spacing w:after="100" w:line="240" w:lineRule="auto"/>
        <w:ind w:firstLine="900" w:firstLineChars="500"/>
        <w:textAlignment w:val="auto"/>
        <w:rPr>
          <w:rFonts w:hint="default" w:ascii="Times New Roman" w:hAnsi="Times New Roman" w:eastAsia="宋体" w:cs="Times New Roman"/>
          <w:color w:val="0F6FC6"/>
          <w:sz w:val="18"/>
          <w:u w:color="auto"/>
          <w:lang w:val="en-US" w:eastAsia="zh-CN"/>
        </w:rPr>
      </w:pPr>
      <w:r>
        <w:rPr>
          <w:rFonts w:hint="eastAsia" w:ascii="Times New Roman" w:hAnsi="Times New Roman" w:eastAsia="宋体" w:cs="Times New Roman"/>
          <w:color w:val="0F6FC6"/>
          <w:sz w:val="18"/>
          <w:u w:color="auto"/>
          <w:lang w:val="en-US" w:eastAsia="zh-CN"/>
        </w:rPr>
        <w:t>2、创业行业和规模来自第三方机构叁壹科技（山西）有限公司-2023届毕业生就业与培养质量调查。</w:t>
      </w:r>
    </w:p>
    <w:p>
      <w:pPr>
        <w:numPr>
          <w:ilvl w:val="2"/>
          <w:numId w:val="23"/>
        </w:numPr>
        <w:shd w:val="clear" w:color="auto" w:fill="FFFFFF"/>
        <w:spacing w:before="15" w:after="15" w:line="360" w:lineRule="auto"/>
        <w:jc w:val="left"/>
        <w:outlineLvl w:val="2"/>
        <w:rPr>
          <w:rFonts w:hint="default" w:ascii="Times New Roman" w:hAnsi="Times New Roman" w:cs="Times New Roman"/>
        </w:rPr>
      </w:pPr>
      <w:bookmarkStart w:id="30" w:name="_Toc21841"/>
      <w:r>
        <w:rPr>
          <w:rFonts w:hint="default" w:ascii="Times New Roman" w:hAnsi="Times New Roman" w:eastAsia="黑体" w:cs="Times New Roman"/>
          <w:b/>
          <w:color w:val="0F6FC6"/>
          <w:sz w:val="28"/>
          <w:u w:color="auto"/>
        </w:rPr>
        <w:t>（二）创业原因及创业困难</w:t>
      </w:r>
      <w:bookmarkEnd w:id="3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学校2023届毕业生选择创业的主要原因是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理想就是成为创业者</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（38.1</w:t>
      </w:r>
      <w:r>
        <w:rPr>
          <w:rFonts w:hint="eastAsia" w:ascii="Times New Roman" w:hAnsi="Times New Roman"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%），其次为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未找到合适工作</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（19.05%）。</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19270" cy="2653665"/>
            <wp:effectExtent l="0" t="0" r="5080" b="1333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w:t>
      </w:r>
      <w:r>
        <w:rPr>
          <w:rFonts w:hint="eastAsia" w:ascii="Times New Roman" w:hAnsi="Times New Roman" w:eastAsia="宋体" w:cs="Times New Roman"/>
          <w:b/>
          <w:color w:val="0F6FC6"/>
          <w:sz w:val="21"/>
          <w:u w:color="auto"/>
          <w:lang w:val="en-US" w:eastAsia="zh-CN"/>
        </w:rPr>
        <w:t>11</w:t>
      </w:r>
      <w:r>
        <w:rPr>
          <w:rFonts w:hint="default" w:ascii="Times New Roman" w:hAnsi="Times New Roman" w:eastAsia="宋体" w:cs="Times New Roman"/>
          <w:b/>
          <w:color w:val="0F6FC6"/>
          <w:sz w:val="21"/>
          <w:u w:color="auto"/>
        </w:rPr>
        <w:t xml:space="preserve">  2023届毕业生自主创业原因分布（单位：%）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在创业准备的过程中，学校2023届毕业生遇到的困难主要是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资金问题</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占比为38.1</w:t>
      </w:r>
      <w:r>
        <w:rPr>
          <w:rFonts w:hint="eastAsia"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%。充分了解毕业生的创业困难，有利于学校更加有针对性的开展创新创业教育等工作。</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05630" cy="3405505"/>
            <wp:effectExtent l="0" t="0" r="13970" b="444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w:t>
      </w:r>
      <w:r>
        <w:rPr>
          <w:rFonts w:hint="eastAsia" w:ascii="Times New Roman" w:hAnsi="Times New Roman" w:eastAsia="宋体" w:cs="Times New Roman"/>
          <w:b/>
          <w:color w:val="0F6FC6"/>
          <w:sz w:val="21"/>
          <w:u w:color="auto"/>
          <w:lang w:val="en-US" w:eastAsia="zh-CN"/>
        </w:rPr>
        <w:t>12</w:t>
      </w:r>
      <w:r>
        <w:rPr>
          <w:rFonts w:hint="default" w:ascii="Times New Roman" w:hAnsi="Times New Roman" w:eastAsia="宋体" w:cs="Times New Roman"/>
          <w:b/>
          <w:color w:val="0F6FC6"/>
          <w:sz w:val="21"/>
          <w:u w:color="auto"/>
        </w:rPr>
        <w:t xml:space="preserve">  2023届毕业生自主创业困难分布（单位：%）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20"/>
        </w:numPr>
        <w:shd w:val="clear" w:color="auto" w:fill="FFFFFF"/>
        <w:spacing w:before="15" w:after="15" w:line="360" w:lineRule="auto"/>
        <w:jc w:val="left"/>
        <w:outlineLvl w:val="1"/>
        <w:rPr>
          <w:rFonts w:hint="default" w:ascii="Times New Roman" w:hAnsi="Times New Roman" w:cs="Times New Roman"/>
        </w:rPr>
      </w:pPr>
      <w:bookmarkStart w:id="31" w:name="_Toc25670"/>
      <w:r>
        <w:rPr>
          <w:rFonts w:hint="eastAsia" w:ascii="Times New Roman" w:hAnsi="Times New Roman" w:eastAsia="黑体" w:cs="Times New Roman"/>
          <w:b/>
          <w:color w:val="0F6FC6"/>
          <w:sz w:val="30"/>
          <w:u w:color="auto"/>
          <w:lang w:val="en-US" w:eastAsia="zh-CN"/>
        </w:rPr>
        <w:t>六</w:t>
      </w:r>
      <w:r>
        <w:rPr>
          <w:rFonts w:hint="default" w:ascii="Times New Roman" w:hAnsi="Times New Roman" w:eastAsia="黑体" w:cs="Times New Roman"/>
          <w:b/>
          <w:color w:val="0F6FC6"/>
          <w:sz w:val="30"/>
          <w:u w:color="auto"/>
        </w:rPr>
        <w:t>、未就业情况分析</w:t>
      </w:r>
      <w:bookmarkEnd w:id="3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高校作为人才输出的主要来源地，促进毕业生就业创业毫无疑问成为高校工作的重中之重。从</w:t>
      </w:r>
      <w:r>
        <w:rPr>
          <w:rFonts w:hint="eastAsia" w:ascii="Times New Roman" w:hAnsi="Times New Roman" w:cs="Times New Roman"/>
          <w:b w:val="0"/>
          <w:color w:val="000000"/>
          <w:sz w:val="24"/>
          <w:u w:color="auto"/>
          <w:lang w:val="en-US" w:eastAsia="zh-CN"/>
        </w:rPr>
        <w:t>未</w:t>
      </w:r>
      <w:r>
        <w:rPr>
          <w:rFonts w:hint="default" w:ascii="Times New Roman" w:hAnsi="Times New Roman" w:eastAsia="宋体" w:cs="Times New Roman"/>
          <w:b w:val="0"/>
          <w:color w:val="000000"/>
          <w:sz w:val="24"/>
          <w:u w:color="auto"/>
        </w:rPr>
        <w:t>就业毕业生群体自身出发，分析包括未落实工作的原因、期望获得的帮助等指标，可以为学校在完善这一毕业生群体的就业指导工作上提供参考。</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2023届未就业的毕业生共732人，占比为15.69%。对尚未落实工作的毕业生进一步调研显示：主要是因为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个人因素（如个人能力不足、个人</w:t>
      </w:r>
      <w:r>
        <w:rPr>
          <w:rFonts w:hint="eastAsia" w:cs="Times New Roman"/>
          <w:b w:val="0"/>
          <w:color w:val="000000"/>
          <w:sz w:val="24"/>
          <w:u w:color="auto"/>
          <w:lang w:val="en-US" w:eastAsia="zh-CN"/>
        </w:rPr>
        <w:t>求职意愿</w:t>
      </w:r>
      <w:r>
        <w:rPr>
          <w:rFonts w:hint="default" w:ascii="Times New Roman" w:hAnsi="Times New Roman" w:eastAsia="宋体" w:cs="Times New Roman"/>
          <w:b w:val="0"/>
          <w:color w:val="000000"/>
          <w:sz w:val="24"/>
          <w:u w:color="auto"/>
        </w:rPr>
        <w:t>不明确）</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（30.78%）。</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532755" cy="2203450"/>
            <wp:effectExtent l="0" t="0" r="10795" b="635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w:t>
      </w:r>
      <w:r>
        <w:rPr>
          <w:rFonts w:hint="eastAsia" w:ascii="Times New Roman" w:hAnsi="Times New Roman" w:eastAsia="宋体" w:cs="Times New Roman"/>
          <w:b/>
          <w:color w:val="0F6FC6"/>
          <w:sz w:val="21"/>
          <w:u w:color="auto"/>
          <w:lang w:val="en-US" w:eastAsia="zh-CN"/>
        </w:rPr>
        <w:t>13</w:t>
      </w:r>
      <w:r>
        <w:rPr>
          <w:rFonts w:hint="default" w:ascii="Times New Roman" w:hAnsi="Times New Roman" w:eastAsia="宋体" w:cs="Times New Roman"/>
          <w:b/>
          <w:color w:val="0F6FC6"/>
          <w:sz w:val="21"/>
          <w:u w:color="auto"/>
        </w:rPr>
        <w:t xml:space="preserve">  尚未落实工作的原因（单位：%）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24"/>
        </w:numPr>
        <w:shd w:val="clear" w:color="auto" w:fill="FFFFFF"/>
        <w:spacing w:before="15" w:after="15" w:line="360" w:lineRule="auto"/>
        <w:jc w:val="left"/>
        <w:outlineLvl w:val="2"/>
        <w:rPr>
          <w:rFonts w:hint="default" w:ascii="Times New Roman" w:hAnsi="Times New Roman" w:cs="Times New Roman"/>
        </w:rPr>
      </w:pPr>
      <w:bookmarkStart w:id="32" w:name="_Toc31595"/>
      <w:r>
        <w:rPr>
          <w:rFonts w:hint="default" w:ascii="Times New Roman" w:hAnsi="Times New Roman" w:eastAsia="黑体" w:cs="Times New Roman"/>
          <w:b/>
          <w:color w:val="0F6FC6"/>
          <w:sz w:val="28"/>
          <w:u w:color="auto"/>
        </w:rPr>
        <w:t>（一）继续求职分析</w:t>
      </w:r>
      <w:bookmarkEnd w:id="3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针对求职中的毕业生进一步分析，有</w:t>
      </w:r>
      <w:r>
        <w:rPr>
          <w:rFonts w:hint="eastAsia" w:ascii="Times New Roman" w:hAnsi="Times New Roman" w:cs="Times New Roman"/>
          <w:b w:val="0"/>
          <w:color w:val="000000"/>
          <w:sz w:val="24"/>
          <w:u w:color="auto"/>
          <w:lang w:val="en-US" w:eastAsia="zh-CN"/>
        </w:rPr>
        <w:t>26.39</w:t>
      </w:r>
      <w:r>
        <w:rPr>
          <w:rFonts w:hint="default" w:ascii="Times New Roman" w:hAnsi="Times New Roman" w:eastAsia="宋体" w:cs="Times New Roman"/>
          <w:b w:val="0"/>
          <w:color w:val="000000"/>
          <w:sz w:val="24"/>
          <w:u w:color="auto"/>
        </w:rPr>
        <w:t>%的人收到过录用通知，但毕业生因薪资福利偏低，个人发展空间不足而选择继续求职，这说明部分毕业生的求职期待可能过高，可合理调整毕业生的就业期待。还有部分毕业生未收到录用通知，主要是因为个人能力与岗位需求不匹配，学校将进一步关注毕业生专业能力培养。</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98010" cy="2090420"/>
            <wp:effectExtent l="0" t="0" r="2540" b="508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图2-1</w:t>
      </w:r>
      <w:r>
        <w:rPr>
          <w:rFonts w:hint="eastAsia" w:ascii="Times New Roman" w:hAnsi="Times New Roman" w:eastAsia="宋体" w:cs="Times New Roman"/>
          <w:b/>
          <w:color w:val="0F6FC6"/>
          <w:sz w:val="21"/>
          <w:u w:color="auto"/>
          <w:lang w:val="en-US" w:eastAsia="zh-CN"/>
        </w:rPr>
        <w:t>4</w:t>
      </w:r>
      <w:r>
        <w:rPr>
          <w:rFonts w:hint="default" w:ascii="Times New Roman" w:hAnsi="Times New Roman" w:eastAsia="宋体" w:cs="Times New Roman"/>
          <w:b/>
          <w:color w:val="0F6FC6"/>
          <w:sz w:val="21"/>
          <w:u w:color="auto"/>
        </w:rPr>
        <w:t xml:space="preserve">  收到过录用函的比例</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25"/>
        </w:numPr>
        <w:shd w:val="clear" w:color="auto" w:fill="FFFFFF"/>
        <w:spacing w:before="15" w:after="15" w:line="360" w:lineRule="auto"/>
        <w:jc w:val="left"/>
        <w:outlineLvl w:val="2"/>
        <w:rPr>
          <w:rFonts w:hint="default" w:ascii="Times New Roman" w:hAnsi="Times New Roman" w:cs="Times New Roman"/>
        </w:rPr>
      </w:pPr>
      <w:bookmarkStart w:id="33" w:name="_Toc31903"/>
      <w:r>
        <w:rPr>
          <w:rFonts w:hint="default" w:ascii="Times New Roman" w:hAnsi="Times New Roman" w:eastAsia="黑体" w:cs="Times New Roman"/>
          <w:b/>
          <w:color w:val="0F6FC6"/>
          <w:sz w:val="28"/>
          <w:u w:color="auto"/>
        </w:rPr>
        <w:t>（二）继续升学分析</w:t>
      </w:r>
      <w:bookmarkEnd w:id="3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针对未就业中准备升学考试的毕业生进一步分析，发现有48.8</w:t>
      </w:r>
      <w:r>
        <w:rPr>
          <w:rFonts w:hint="eastAsia"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%的学生已经参加过升学考试。</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58335" cy="2010410"/>
            <wp:effectExtent l="0" t="0" r="18415" b="889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图2-1</w:t>
      </w:r>
      <w:r>
        <w:rPr>
          <w:rFonts w:hint="eastAsia" w:ascii="Times New Roman" w:hAnsi="Times New Roman" w:eastAsia="宋体" w:cs="Times New Roman"/>
          <w:b/>
          <w:color w:val="0F6FC6"/>
          <w:sz w:val="21"/>
          <w:u w:color="auto"/>
          <w:lang w:val="en-US" w:eastAsia="zh-CN"/>
        </w:rPr>
        <w:t>5</w:t>
      </w:r>
      <w:r>
        <w:rPr>
          <w:rFonts w:hint="default" w:ascii="Times New Roman" w:hAnsi="Times New Roman" w:eastAsia="宋体" w:cs="Times New Roman"/>
          <w:b/>
          <w:color w:val="0F6FC6"/>
          <w:sz w:val="21"/>
          <w:u w:color="auto"/>
        </w:rPr>
        <w:t xml:space="preserve">  参加过升学考试的比例</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b w:val="0"/>
          <w:color w:val="000000"/>
          <w:sz w:val="24"/>
          <w:highlight w:val="none"/>
          <w:u w:color="auto"/>
        </w:rPr>
        <w:t>初次考研未通过的主要原因是</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初试总分</w:t>
      </w:r>
      <w:r>
        <w:rPr>
          <w:rFonts w:hint="eastAsia" w:eastAsia="宋体" w:cs="Times New Roman"/>
          <w:b w:val="0"/>
          <w:color w:val="000000"/>
          <w:sz w:val="24"/>
          <w:highlight w:val="none"/>
          <w:u w:color="auto"/>
          <w:lang w:eastAsia="zh-CN"/>
        </w:rPr>
        <w:t>”</w:t>
      </w:r>
      <w:r>
        <w:rPr>
          <w:rFonts w:hint="eastAsia" w:cs="Times New Roman"/>
          <w:b w:val="0"/>
          <w:color w:val="000000"/>
          <w:sz w:val="24"/>
          <w:highlight w:val="none"/>
          <w:u w:color="auto"/>
          <w:lang w:val="en-US" w:eastAsia="zh-CN"/>
        </w:rPr>
        <w:t>不够</w:t>
      </w:r>
      <w:r>
        <w:rPr>
          <w:rFonts w:hint="default" w:ascii="Times New Roman" w:hAnsi="Times New Roman" w:eastAsia="宋体" w:cs="Times New Roman"/>
          <w:b w:val="0"/>
          <w:color w:val="000000"/>
          <w:sz w:val="24"/>
          <w:highlight w:val="none"/>
          <w:u w:color="auto"/>
        </w:rPr>
        <w:t>，占比为</w:t>
      </w:r>
      <w:r>
        <w:rPr>
          <w:rFonts w:hint="eastAsia" w:cs="Times New Roman"/>
          <w:b w:val="0"/>
          <w:color w:val="000000"/>
          <w:sz w:val="24"/>
          <w:highlight w:val="none"/>
          <w:u w:color="auto"/>
          <w:lang w:val="en-US" w:eastAsia="zh-CN"/>
        </w:rPr>
        <w:t>55.10</w:t>
      </w:r>
      <w:r>
        <w:rPr>
          <w:rFonts w:hint="default" w:ascii="Times New Roman" w:hAnsi="Times New Roman" w:eastAsia="宋体" w:cs="Times New Roman"/>
          <w:b w:val="0"/>
          <w:color w:val="000000"/>
          <w:sz w:val="24"/>
          <w:highlight w:val="none"/>
          <w:u w:color="auto"/>
        </w:rPr>
        <w:t>%；其次为</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初试基础科目（数学或专业基础）</w:t>
      </w:r>
      <w:r>
        <w:rPr>
          <w:rFonts w:hint="eastAsia" w:eastAsia="宋体" w:cs="Times New Roman"/>
          <w:b w:val="0"/>
          <w:color w:val="000000"/>
          <w:sz w:val="24"/>
          <w:highlight w:val="none"/>
          <w:u w:color="auto"/>
          <w:lang w:eastAsia="zh-CN"/>
        </w:rPr>
        <w:t>”</w:t>
      </w:r>
      <w:r>
        <w:rPr>
          <w:rFonts w:hint="eastAsia" w:cs="Times New Roman"/>
          <w:b w:val="0"/>
          <w:color w:val="000000"/>
          <w:sz w:val="24"/>
          <w:highlight w:val="none"/>
          <w:u w:color="auto"/>
          <w:lang w:val="en-US" w:eastAsia="zh-CN"/>
        </w:rPr>
        <w:t>不够</w:t>
      </w:r>
      <w:r>
        <w:rPr>
          <w:rFonts w:hint="default" w:ascii="Times New Roman" w:hAnsi="Times New Roman" w:eastAsia="宋体" w:cs="Times New Roman"/>
          <w:b w:val="0"/>
          <w:color w:val="000000"/>
          <w:sz w:val="24"/>
          <w:highlight w:val="none"/>
          <w:u w:color="auto"/>
        </w:rPr>
        <w:t>，占比为</w:t>
      </w:r>
      <w:r>
        <w:rPr>
          <w:rFonts w:hint="eastAsia" w:cs="Times New Roman"/>
          <w:b w:val="0"/>
          <w:color w:val="000000"/>
          <w:sz w:val="24"/>
          <w:highlight w:val="none"/>
          <w:u w:color="auto"/>
          <w:lang w:val="en-US" w:eastAsia="zh-CN"/>
        </w:rPr>
        <w:t>10.82</w:t>
      </w:r>
      <w:r>
        <w:rPr>
          <w:rFonts w:hint="default" w:ascii="Times New Roman" w:hAnsi="Times New Roman" w:eastAsia="宋体" w:cs="Times New Roman"/>
          <w:b w:val="0"/>
          <w:color w:val="000000"/>
          <w:sz w:val="24"/>
          <w:highlight w:val="none"/>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761230" cy="2973070"/>
            <wp:effectExtent l="0" t="0" r="1270" b="17780"/>
            <wp:docPr id="9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line="360" w:lineRule="auto"/>
        <w:jc w:val="center"/>
        <w:rPr>
          <w:rFonts w:hint="default" w:ascii="Times New Roman" w:hAnsi="Times New Roman" w:cs="Times New Roman"/>
          <w:color w:val="4F80BD"/>
        </w:rPr>
      </w:pPr>
      <w:r>
        <w:rPr>
          <w:rFonts w:hint="default" w:ascii="Times New Roman" w:hAnsi="Times New Roman" w:eastAsia="黑体" w:cs="Times New Roman"/>
          <w:b/>
          <w:color w:val="4F80BD"/>
          <w:sz w:val="21"/>
          <w:u w:color="auto"/>
        </w:rPr>
        <w:t>图2-16  初次考研未通过的原因（单位：%）</w:t>
      </w:r>
    </w:p>
    <w:p>
      <w:pPr>
        <w:spacing w:after="100" w:line="240" w:lineRule="auto"/>
        <w:rPr>
          <w:rFonts w:hint="eastAsia" w:ascii="Times New Roman" w:hAnsi="Times New Roman" w:eastAsia="宋体" w:cs="Times New Roman"/>
          <w:color w:val="4F80BD"/>
          <w:lang w:eastAsia="zh-CN"/>
        </w:rPr>
      </w:pPr>
      <w:r>
        <w:rPr>
          <w:rFonts w:hint="eastAsia" w:cs="Times New Roman"/>
          <w:color w:val="4F80BD"/>
          <w:sz w:val="18"/>
          <w:u w:color="auto"/>
          <w:lang w:eastAsia="zh-CN"/>
        </w:rPr>
        <w:t>数据来源：第三方机构叁壹科技（山西）有限公司-2023届毕业生就业与培养质量调查。</w:t>
      </w:r>
    </w:p>
    <w:p>
      <w:pPr>
        <w:numPr>
          <w:ilvl w:val="2"/>
          <w:numId w:val="26"/>
        </w:numPr>
        <w:shd w:val="clear" w:color="auto" w:fill="FFFFFF"/>
        <w:spacing w:before="15" w:after="15" w:line="360" w:lineRule="auto"/>
        <w:jc w:val="left"/>
        <w:outlineLvl w:val="2"/>
        <w:rPr>
          <w:rFonts w:hint="default" w:ascii="Times New Roman" w:hAnsi="Times New Roman" w:cs="Times New Roman"/>
        </w:rPr>
      </w:pPr>
      <w:bookmarkStart w:id="34" w:name="_Toc11535"/>
      <w:r>
        <w:rPr>
          <w:rFonts w:hint="default" w:ascii="Times New Roman" w:hAnsi="Times New Roman" w:eastAsia="黑体" w:cs="Times New Roman"/>
          <w:b/>
          <w:color w:val="0F6FC6"/>
          <w:sz w:val="28"/>
          <w:u w:color="auto"/>
        </w:rPr>
        <w:t>（三）希望提供的帮助</w:t>
      </w:r>
      <w:bookmarkEnd w:id="3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2023届毕业生在求职过程中希望获得的帮扶主要为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学校继续推荐工作岗位/机会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（40.91%），其次是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为招聘高校毕业生的用人单位提供财税优惠政策，鼓励其吸纳毕业生就业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（26.03%）。</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726305" cy="3404235"/>
            <wp:effectExtent l="0" t="0" r="17145" b="571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图2-1</w:t>
      </w:r>
      <w:r>
        <w:rPr>
          <w:rFonts w:hint="eastAsia" w:ascii="Times New Roman" w:hAnsi="Times New Roman" w:eastAsia="宋体" w:cs="Times New Roman"/>
          <w:b/>
          <w:color w:val="0F6FC6"/>
          <w:sz w:val="21"/>
          <w:u w:color="auto"/>
          <w:lang w:val="en-US" w:eastAsia="zh-CN"/>
        </w:rPr>
        <w:t>7</w:t>
      </w:r>
      <w:r>
        <w:rPr>
          <w:rFonts w:hint="default" w:ascii="Times New Roman" w:hAnsi="Times New Roman" w:eastAsia="宋体" w:cs="Times New Roman"/>
          <w:b/>
          <w:color w:val="0F6FC6"/>
          <w:sz w:val="21"/>
          <w:u w:color="auto"/>
        </w:rPr>
        <w:t xml:space="preserve">  求职过程中希望获得的帮扶（单位：%）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拟参加公招的毕业生期望获得的帮扶：2023届毕业生在参加公招过程中希望获得的帮扶主要为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为未就业的毕业生保留应届生身份</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(70.74%)，其次是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政府部门、国有企业、事业单位等带头扩大招聘规模</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(59.31%)。</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718685" cy="2609215"/>
            <wp:effectExtent l="0" t="0" r="5715" b="635"/>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图2-1</w:t>
      </w:r>
      <w:r>
        <w:rPr>
          <w:rFonts w:hint="eastAsia" w:ascii="Times New Roman" w:hAnsi="Times New Roman" w:eastAsia="宋体" w:cs="Times New Roman"/>
          <w:b/>
          <w:color w:val="0F6FC6"/>
          <w:sz w:val="21"/>
          <w:u w:color="auto"/>
          <w:lang w:val="en-US" w:eastAsia="zh-CN"/>
        </w:rPr>
        <w:t>8</w:t>
      </w:r>
      <w:r>
        <w:rPr>
          <w:rFonts w:hint="default" w:ascii="Times New Roman" w:hAnsi="Times New Roman" w:eastAsia="宋体" w:cs="Times New Roman"/>
          <w:b/>
          <w:color w:val="0F6FC6"/>
          <w:sz w:val="21"/>
          <w:u w:color="auto"/>
        </w:rPr>
        <w:t xml:space="preserve">  拟参加公招考试中希望获得的帮扶（单位：%）</w:t>
      </w:r>
    </w:p>
    <w:p>
      <w:pPr>
        <w:spacing w:after="100" w:line="240" w:lineRule="auto"/>
        <w:rPr>
          <w:rFonts w:hint="eastAsia" w:ascii="Times New Roman" w:hAnsi="Times New Roman" w:eastAsia="宋体" w:cs="Times New Roman"/>
          <w:color w:val="0F6FC6"/>
          <w:sz w:val="18"/>
          <w:u w:color="auto"/>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rPr>
      </w:pPr>
      <w:r>
        <w:rPr>
          <w:rFonts w:hint="default" w:ascii="Times New Roman" w:hAnsi="Times New Roman" w:eastAsia="宋体" w:cs="Times New Roman"/>
          <w:b w:val="0"/>
          <w:color w:val="000000"/>
          <w:sz w:val="24"/>
          <w:u w:color="auto"/>
        </w:rPr>
        <w:t>拟应征入伍的毕业生期望获得的帮扶：2023届应征入伍毕业生希望获得的帮扶主要为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出台、落实优惠政策，支持退役大学生士兵返校学习</w:t>
      </w:r>
      <w:r>
        <w:rPr>
          <w:rFonts w:hint="eastAsia" w:eastAsia="宋体" w:cs="Times New Roman"/>
          <w:b w:val="0"/>
          <w:color w:val="000000"/>
          <w:sz w:val="24"/>
          <w:u w:color="auto"/>
          <w:lang w:eastAsia="zh-CN"/>
        </w:rPr>
        <w:t>”</w:t>
      </w:r>
      <w:r>
        <w:rPr>
          <w:rFonts w:hint="eastAsia" w:ascii="Times New Roman" w:hAnsi="Times New Roman" w:eastAsia="宋体" w:cs="Times New Roman"/>
          <w:b w:val="0"/>
          <w:color w:val="000000"/>
          <w:sz w:val="24"/>
          <w:u w:color="auto"/>
          <w:lang w:eastAsia="zh-CN"/>
        </w:rPr>
        <w:t>（</w:t>
      </w:r>
      <w:r>
        <w:rPr>
          <w:rFonts w:hint="eastAsia" w:ascii="Times New Roman" w:hAnsi="Times New Roman" w:eastAsia="宋体" w:cs="Times New Roman"/>
          <w:b w:val="0"/>
          <w:color w:val="000000"/>
          <w:sz w:val="24"/>
          <w:u w:color="auto"/>
          <w:lang w:val="en-US" w:eastAsia="zh-CN"/>
        </w:rPr>
        <w:t>85.71%</w:t>
      </w:r>
      <w:r>
        <w:rPr>
          <w:rFonts w:hint="eastAsia" w:ascii="Times New Roman" w:hAnsi="Times New Roman"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其次是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加大优秀大学生士兵的宣传推广和表彰力度</w:t>
      </w:r>
      <w:r>
        <w:rPr>
          <w:rFonts w:hint="eastAsia" w:eastAsia="宋体" w:cs="Times New Roman"/>
          <w:b w:val="0"/>
          <w:color w:val="000000"/>
          <w:sz w:val="24"/>
          <w:u w:color="auto"/>
          <w:lang w:eastAsia="zh-CN"/>
        </w:rPr>
        <w:t>”</w:t>
      </w:r>
      <w:r>
        <w:rPr>
          <w:rFonts w:hint="eastAsia" w:ascii="Times New Roman" w:hAnsi="Times New Roman" w:eastAsia="宋体" w:cs="Times New Roman"/>
          <w:b w:val="0"/>
          <w:color w:val="000000"/>
          <w:sz w:val="24"/>
          <w:u w:color="auto"/>
          <w:lang w:eastAsia="zh-CN"/>
        </w:rPr>
        <w:t>（</w:t>
      </w:r>
      <w:r>
        <w:rPr>
          <w:rFonts w:hint="eastAsia" w:ascii="Times New Roman" w:hAnsi="Times New Roman" w:eastAsia="宋体" w:cs="Times New Roman"/>
          <w:b w:val="0"/>
          <w:color w:val="000000"/>
          <w:sz w:val="24"/>
          <w:u w:color="auto"/>
          <w:lang w:val="en-US" w:eastAsia="zh-CN"/>
        </w:rPr>
        <w:t>57.14%</w:t>
      </w:r>
      <w:r>
        <w:rPr>
          <w:rFonts w:hint="eastAsia" w:ascii="Times New Roman" w:hAnsi="Times New Roman"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306695" cy="1978025"/>
            <wp:effectExtent l="0" t="0" r="8255" b="3175"/>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图2-1</w:t>
      </w:r>
      <w:r>
        <w:rPr>
          <w:rFonts w:hint="eastAsia" w:ascii="Times New Roman" w:hAnsi="Times New Roman" w:eastAsia="宋体" w:cs="Times New Roman"/>
          <w:b/>
          <w:color w:val="0F6FC6"/>
          <w:sz w:val="21"/>
          <w:u w:color="auto"/>
          <w:lang w:val="en-US" w:eastAsia="zh-CN"/>
        </w:rPr>
        <w:t>9</w:t>
      </w:r>
      <w:r>
        <w:rPr>
          <w:rFonts w:hint="default" w:ascii="Times New Roman" w:hAnsi="Times New Roman" w:eastAsia="宋体" w:cs="Times New Roman"/>
          <w:b/>
          <w:color w:val="0F6FC6"/>
          <w:sz w:val="21"/>
          <w:u w:color="auto"/>
        </w:rPr>
        <w:t xml:space="preserve">  拟应征入伍希望获得的帮扶（单位：%）</w:t>
      </w:r>
    </w:p>
    <w:p>
      <w:pPr>
        <w:spacing w:after="100" w:line="240" w:lineRule="auto"/>
        <w:rPr>
          <w:rFonts w:hint="eastAsia" w:ascii="Times New Roman" w:hAnsi="Times New Roman" w:eastAsia="宋体" w:cs="Times New Roman"/>
          <w:color w:val="0F6FC6"/>
          <w:sz w:val="18"/>
          <w:u w:color="auto"/>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准备参加出国/出境的过程中希望获得的帮扶：2023届毕业生准备参加出国/出境的过程中希望获得的帮扶主要为</w:t>
      </w:r>
      <w:r>
        <w:rPr>
          <w:rFonts w:hint="eastAsia" w:eastAsia="宋体" w:cs="Times New Roman"/>
          <w:b w:val="0"/>
          <w:color w:val="000000"/>
          <w:sz w:val="24"/>
          <w:u w:color="auto"/>
          <w:lang w:eastAsia="zh-CN"/>
        </w:rPr>
        <w:t>“</w:t>
      </w:r>
      <w:r>
        <w:rPr>
          <w:rFonts w:hint="eastAsia" w:ascii="Times New Roman" w:hAnsi="Times New Roman" w:eastAsia="宋体" w:cs="Times New Roman"/>
          <w:b w:val="0"/>
          <w:color w:val="000000"/>
          <w:sz w:val="24"/>
          <w:u w:color="auto"/>
          <w:lang w:val="en-US" w:eastAsia="zh-CN"/>
        </w:rPr>
        <w:t>英语能力培训</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（50.0</w:t>
      </w:r>
      <w:r>
        <w:rPr>
          <w:rFonts w:hint="eastAsia" w:ascii="Times New Roman" w:hAnsi="Times New Roman" w:eastAsia="宋体"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864735" cy="1581150"/>
            <wp:effectExtent l="0" t="0" r="12065" b="0"/>
            <wp:docPr id="8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spacing w:line="360" w:lineRule="auto"/>
        <w:jc w:val="center"/>
        <w:rPr>
          <w:rFonts w:hint="default" w:ascii="Times New Roman" w:hAnsi="Times New Roman" w:eastAsia="宋体" w:cs="Times New Roman"/>
          <w:b/>
          <w:color w:val="0F6FC6"/>
          <w:sz w:val="21"/>
          <w:u w:color="auto"/>
        </w:rPr>
      </w:pPr>
      <w:r>
        <w:rPr>
          <w:rFonts w:hint="default" w:ascii="Times New Roman" w:hAnsi="Times New Roman" w:eastAsia="宋体" w:cs="Times New Roman"/>
          <w:b/>
          <w:color w:val="0F6FC6"/>
          <w:sz w:val="21"/>
          <w:u w:color="auto"/>
        </w:rPr>
        <w:t>图2-</w:t>
      </w:r>
      <w:r>
        <w:rPr>
          <w:rFonts w:hint="eastAsia" w:ascii="Times New Roman" w:hAnsi="Times New Roman" w:eastAsia="宋体" w:cs="Times New Roman"/>
          <w:b/>
          <w:color w:val="0F6FC6"/>
          <w:sz w:val="21"/>
          <w:u w:color="auto"/>
          <w:lang w:val="en-US" w:eastAsia="zh-CN"/>
        </w:rPr>
        <w:t>20</w:t>
      </w:r>
      <w:r>
        <w:rPr>
          <w:rFonts w:hint="default" w:ascii="Times New Roman" w:hAnsi="Times New Roman" w:eastAsia="宋体" w:cs="Times New Roman"/>
          <w:b/>
          <w:color w:val="0F6FC6"/>
          <w:sz w:val="21"/>
          <w:u w:color="auto"/>
        </w:rPr>
        <w:t xml:space="preserve">  参加出国/出境的过程中希望获得的帮扶（单位：%）</w:t>
      </w:r>
    </w:p>
    <w:p>
      <w:pPr>
        <w:spacing w:after="100" w:line="240" w:lineRule="auto"/>
        <w:rPr>
          <w:rFonts w:hint="eastAsia" w:ascii="Times New Roman" w:hAnsi="Times New Roman" w:eastAsia="宋体" w:cs="Times New Roman"/>
          <w:color w:val="0F6FC6"/>
          <w:sz w:val="18"/>
          <w:u w:color="auto"/>
          <w:lang w:eastAsia="zh-CN"/>
        </w:rPr>
      </w:pPr>
      <w:r>
        <w:rPr>
          <w:rFonts w:hint="eastAsia" w:cs="Times New Roman"/>
          <w:color w:val="0F6FC6"/>
          <w:sz w:val="18"/>
          <w:u w:color="auto"/>
          <w:lang w:eastAsia="zh-CN"/>
        </w:rPr>
        <w:t>数据来源：第三方机构叁壹科技（山西）有限公司-2023届毕业生就业与培养质量调查。</w:t>
      </w:r>
    </w:p>
    <w:p>
      <w:pPr>
        <w:bidi w:val="0"/>
        <w:rPr>
          <w:rFonts w:hint="default"/>
        </w:rPr>
      </w:pPr>
    </w:p>
    <w:p>
      <w:pPr>
        <w:pageBreakBefore/>
        <w:numPr>
          <w:ilvl w:val="0"/>
          <w:numId w:val="27"/>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hint="default" w:ascii="Times New Roman" w:hAnsi="Times New Roman" w:cs="Times New Roman"/>
        </w:rPr>
      </w:pPr>
      <w:bookmarkStart w:id="35" w:name="_Toc10186"/>
      <w:r>
        <w:rPr>
          <w:rFonts w:hint="default" w:ascii="Times New Roman" w:hAnsi="Times New Roman" w:eastAsia="黑体" w:cs="Times New Roman"/>
          <w:b/>
          <w:color w:val="FFFFFF"/>
          <w:sz w:val="36"/>
          <w:u w:color="auto"/>
        </w:rPr>
        <w:t>PART 03  毕业生就业特色分析</w:t>
      </w:r>
      <w:bookmarkEnd w:id="35"/>
    </w:p>
    <w:p>
      <w:pPr>
        <w:rPr>
          <w:rFonts w:hint="default" w:ascii="Times New Roman" w:hAnsi="Times New Roman" w:cs="Times New Roman"/>
        </w:rPr>
      </w:pPr>
      <w:r>
        <w:rPr>
          <w:rFonts w:hint="default" w:ascii="Times New Roman" w:hAnsi="Times New Roman" w:cs="Times New Roman"/>
        </w:rPr>
        <w:t>
</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本章从毕业生就业地区分布、行业分布、职业分布等几个方面对学校毕业生就业基本情况进行统计和分析，了解毕业生的就业的区域、行业、职业特点。</w:t>
      </w:r>
    </w:p>
    <w:p>
      <w:pPr>
        <w:numPr>
          <w:ilvl w:val="1"/>
          <w:numId w:val="28"/>
        </w:numPr>
        <w:shd w:val="clear" w:color="auto" w:fill="FFFFFF"/>
        <w:spacing w:before="15" w:after="15" w:line="360" w:lineRule="auto"/>
        <w:jc w:val="left"/>
        <w:outlineLvl w:val="1"/>
        <w:rPr>
          <w:rFonts w:hint="default" w:ascii="Times New Roman" w:hAnsi="Times New Roman" w:cs="Times New Roman"/>
        </w:rPr>
      </w:pPr>
      <w:bookmarkStart w:id="36" w:name="_Toc23271"/>
      <w:r>
        <w:rPr>
          <w:rFonts w:hint="default" w:ascii="Times New Roman" w:hAnsi="Times New Roman" w:eastAsia="黑体" w:cs="Times New Roman"/>
          <w:b/>
          <w:color w:val="0F6FC6"/>
          <w:sz w:val="30"/>
          <w:u w:color="auto"/>
        </w:rPr>
        <w:t>一、毕业生就业地区分布</w:t>
      </w:r>
      <w:bookmarkEnd w:id="36"/>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大学生是知识和技术的重要承载者，是生产力的重要创造者。大学生对于就业地区选择，是影响整个社会人力资源配置是否合理的重要因素，因而研究高校毕业生就业地区情况，做好毕业生就业选择的正确引导工作至关重要。</w:t>
      </w:r>
    </w:p>
    <w:p>
      <w:pPr>
        <w:numPr>
          <w:ilvl w:val="2"/>
          <w:numId w:val="29"/>
        </w:numPr>
        <w:shd w:val="clear" w:color="auto" w:fill="FFFFFF"/>
        <w:spacing w:before="15" w:after="15" w:line="360" w:lineRule="auto"/>
        <w:jc w:val="left"/>
        <w:outlineLvl w:val="2"/>
        <w:rPr>
          <w:rFonts w:hint="default" w:ascii="Times New Roman" w:hAnsi="Times New Roman" w:cs="Times New Roman"/>
        </w:rPr>
      </w:pPr>
      <w:bookmarkStart w:id="37" w:name="_Toc16724"/>
      <w:r>
        <w:rPr>
          <w:rFonts w:hint="default" w:ascii="Times New Roman" w:hAnsi="Times New Roman" w:eastAsia="黑体" w:cs="Times New Roman"/>
          <w:b/>
          <w:color w:val="0F6FC6"/>
          <w:sz w:val="28"/>
          <w:u w:color="auto"/>
        </w:rPr>
        <w:t>（一）就业地区分布</w:t>
      </w:r>
      <w:bookmarkEnd w:id="3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学校2023届毕业生主要选择在山西省内就业（78.87%），服务地方经济发展；省外就业毕业生主要流向了北京市、山东省、江苏省，占比分别为2.04%、1.65%、1.53%。</w:t>
      </w:r>
    </w:p>
    <w:p>
      <w:pPr>
        <w:jc w:val="center"/>
        <w:rPr>
          <w:rFonts w:hint="default" w:ascii="Times New Roman" w:hAnsi="Times New Roman" w:cs="Times New Roman"/>
        </w:rPr>
      </w:pPr>
      <w:r>
        <w:drawing>
          <wp:inline distT="0" distB="0" distL="114300" distR="114300">
            <wp:extent cx="5219700" cy="4312920"/>
            <wp:effectExtent l="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25"/>
                    <a:stretch>
                      <a:fillRect/>
                    </a:stretch>
                  </pic:blipFill>
                  <pic:spPr>
                    <a:xfrm>
                      <a:off x="0" y="0"/>
                      <a:ext cx="5219700" cy="4312920"/>
                    </a:xfrm>
                    <a:prstGeom prst="rect">
                      <a:avLst/>
                    </a:prstGeom>
                    <a:noFill/>
                    <a:ln>
                      <a:noFill/>
                    </a:ln>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图3-1  2023届毕业生就业省份分布</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表3-1  2023届毕业生就业省份分布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970"/>
        <w:gridCol w:w="2970"/>
        <w:gridCol w:w="3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就业</w:t>
            </w:r>
            <w:r>
              <w:rPr>
                <w:rFonts w:hint="eastAsia" w:ascii="Times New Roman" w:hAnsi="Times New Roman" w:eastAsia="宋体" w:cs="Times New Roman"/>
                <w:b/>
                <w:color w:val="FFFFFF"/>
                <w:sz w:val="22"/>
                <w:u w:color="auto"/>
                <w:lang w:val="en-US" w:eastAsia="zh-CN"/>
              </w:rPr>
              <w:t>省</w:t>
            </w:r>
          </w:p>
        </w:tc>
        <w:tc>
          <w:tcPr>
            <w:tcW w:w="165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c>
          <w:tcPr>
            <w:tcW w:w="17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山西省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2780</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北京市</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山东省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江苏省</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陕西省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w:t>
            </w:r>
            <w:r>
              <w:rPr>
                <w:rFonts w:hint="eastAsia" w:cs="Times New Roman"/>
                <w:i w:val="0"/>
                <w:iCs w:val="0"/>
                <w:color w:val="000000"/>
                <w:kern w:val="0"/>
                <w:sz w:val="22"/>
                <w:szCs w:val="22"/>
                <w:u w:val="none"/>
                <w:lang w:val="en-US" w:eastAsia="zh-CN" w:bidi="ar"/>
              </w:rPr>
              <w:t>0</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浙江省</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河北省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新疆维吾尔自治区</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天津市</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河南省</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广东省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内蒙古自治区</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湖南省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安徽省</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湖北省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四川省</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贵州省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0.6</w:t>
            </w:r>
            <w:r>
              <w:rPr>
                <w:rFonts w:hint="eastAsia" w:cs="Times New Roman"/>
                <w:i w:val="0"/>
                <w:iCs w:val="0"/>
                <w:color w:val="000000"/>
                <w:kern w:val="0"/>
                <w:sz w:val="22"/>
                <w:szCs w:val="22"/>
                <w:u w:val="none"/>
                <w:lang w:val="en-US" w:eastAsia="zh-CN" w:bidi="ar"/>
              </w:rPr>
              <w:t>0</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重庆市</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云南省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海南省</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上海市</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甘肃省</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辽宁省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江西省</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0.4</w:t>
            </w:r>
            <w:r>
              <w:rPr>
                <w:rFonts w:hint="eastAsia" w:cs="Times New Roman"/>
                <w:i w:val="0"/>
                <w:iCs w:val="0"/>
                <w:color w:val="000000"/>
                <w:kern w:val="0"/>
                <w:sz w:val="22"/>
                <w:szCs w:val="22"/>
                <w:u w:val="none"/>
                <w:lang w:val="en-US" w:eastAsia="zh-CN" w:bidi="ar"/>
              </w:rPr>
              <w:t>0</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吉林省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广西壮族自治区</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宁夏回族自治区</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西藏自治区</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0.2</w:t>
            </w:r>
            <w:r>
              <w:rPr>
                <w:rFonts w:hint="eastAsia" w:cs="Times New Roman"/>
                <w:i w:val="0"/>
                <w:iCs w:val="0"/>
                <w:color w:val="000000"/>
                <w:kern w:val="0"/>
                <w:sz w:val="22"/>
                <w:szCs w:val="22"/>
                <w:u w:val="none"/>
                <w:lang w:val="en-US" w:eastAsia="zh-CN" w:bidi="ar"/>
              </w:rPr>
              <w:t>0</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黑龙江省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福建省</w:t>
            </w:r>
          </w:p>
        </w:tc>
        <w:tc>
          <w:tcPr>
            <w:tcW w:w="2970"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6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青海省</w:t>
            </w:r>
          </w:p>
        </w:tc>
        <w:tc>
          <w:tcPr>
            <w:tcW w:w="2970"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6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0.03%</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省内就业的毕业生主要分布在晋中市、太原市和临汾市，占比分别为28.09%、23.56%和10.0</w:t>
      </w:r>
      <w:r>
        <w:rPr>
          <w:rFonts w:hint="eastAsia"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drawing>
          <wp:inline distT="0" distB="0" distL="114300" distR="114300">
            <wp:extent cx="2630170" cy="3385820"/>
            <wp:effectExtent l="0" t="0" r="17780" b="508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64"/>
                    <a:stretch>
                      <a:fillRect/>
                    </a:stretch>
                  </pic:blipFill>
                  <pic:spPr>
                    <a:xfrm>
                      <a:off x="0" y="0"/>
                      <a:ext cx="2630170" cy="3385820"/>
                    </a:xfrm>
                    <a:prstGeom prst="rect">
                      <a:avLst/>
                    </a:prstGeom>
                    <a:noFill/>
                    <a:ln>
                      <a:noFill/>
                    </a:ln>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图3-2  2023届毕业生省内就业地区分布</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的就业省份分布如下：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表3-2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毕业生就业省份分布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382"/>
        <w:gridCol w:w="6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32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367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就业省份分布（前五）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367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(83.5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%)、河北省 (2.91%)、西藏自治区 (2.43%)、山东省 (1.94%)、湖南省 (1.46%)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367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(84.51%)、四川省 (2.21%)、河南省 (1.77%)、湖南省 (1.33%)、湖北省 (1.33%)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367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(71.32%)、陕西省 (3.68%)、北京市 (2.63%)、山东省 (2.37%)、重庆市 (1.84%)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367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(89.76%)、江苏省 (1.57%)、湖南省 (1.57%)、北京市 (1.57%)、西藏自治区 (0.79%)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367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(73.0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%)、浙江省 (4.75%)、江苏省 (4.15%)、北京市 (2.67%)、陕西省 (1.78%)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367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(88.52%)、江苏省 (1.64%)、山东省 (1.64%)、新疆维吾尔自治区 (1.31%)、湖南省 (1.31%)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367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(83.28%)、内蒙古自治区 (2.52%)、北京市 (2.52%)、贵州省 (1.89%)、新疆维吾尔自治区 (1.58%)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367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(79.41%)、北京市 (5.39%)、陕西省 (2.94%)、江苏省 (2.45%)、上海市 (1.47%)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367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(77.61%)、北京市 (5.47%)、山东省 (3.48%)、陕西省 (2.99%)、浙江省 (1.99%)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367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(79.55%)、江苏省 (6.82%)、内蒙古自治区 (4.55%)、浙江省 (4.55%)、山东省 (4.55%)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367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(69.72%)、贵州省 (4.93%)、河北省 (3.52%)、吉林省 (3.52%)、天津市 (2.82%)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367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(88.24%)、上海市 (5.88%)、新疆维吾尔自治区 (2.94%)、广东省 (2.94%)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367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(78.29%)、江苏省 (3.43%)、河南省 (2.86%)、广东省 (2.29%)、天津市 (1.71%)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367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(72.57%)、新疆维吾尔自治区 (3.8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%)、陕西省 (3.38%)、北京市 (3.38%)、甘肃省 (2.53%)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367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(77.2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%)、天津市 (2.59%)、重庆市 (2.59%)、山东省 (2.59%)、湖南省 (2.07%)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367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(79.31%)、江苏省 (1.92%)、云南省 (1.92%)、天津市 (1.53%)、新疆维吾尔自治区 (1.53%)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367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(77.21%)、江西省 (4.41%)、内蒙古自治区 (3.68%)、海南省 (3.68%)、北京市 (2.21%)</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各专业的就业省份分布如下：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表3-3  2023届各专业毕业生就业省份分布</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784"/>
        <w:gridCol w:w="6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54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3452"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就业省份分布（前五）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(86.03%)、西藏自治区 (2.79%)、河北省 (2.23%)、陕西省 (1.12%)、新疆维吾尔自治区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(61.33%)、北京市 (5.33%)、海南省 (5.33%)、陕西省 (4.0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%)、湖北省 (4.0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(70.41%)、山东省 (4.59%)、天津市 (2.55%)、陕西省 (2.55%)、重庆市 (2.55%)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%)、江苏省 (3.17%)、湖南省 (3.17%)、西藏自治区 (1.59%)、天津市 (1.59%)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(75.47%)、浙江省 (4.72%)、天津市 (3.77%)、陕西省 (2.83%)、山东省 (2.83%)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(90.82%)、江苏省 (2.04%)、内蒙古自治区 (1.02%)、新疆维吾尔自治区 (1.02%)、河北省 (1.02%)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(55.26%)、内蒙古自治区 (6.58%)、贵州省 (6.58%)、新疆维吾尔自治区 (5.26%)、北京市 (5.26%)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(73.49%)、北京市 (7.23%)、陕西省 (6.02%)、江苏省 (3.61%)、辽宁省 (3.61%)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(54.17%)、安徽省 (10.42%)、河南省 (6.25%)、云南省 (6.25%)、内蒙古自治区 (4.17%)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(78.95%)、北京市 (5.26%)、山东省 (5.26%)、云南省 (5.26%)、黑龙江省 (2.63%)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(83.33%)、贵州省 (3.7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%)、江苏省 (1.85%)、新疆维吾尔自治区 (1.85%)、北京市 (1.85%)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(79.55%)、江苏省 (6.82%)、内蒙古自治区 (4.55%)、浙江省 (4.55%)、山东省 (4.55%)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(66.67%)、山东省 (14.81%)、湖南省 (7.41%)、河北省 (7.41%)、天津市 (3.7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(66.67%)、天津市 (6.25%)、河北省 (6.25%)、湖北省 (6.25%)、山东省 (4.17%)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(88.24%)、上海市 (5.88%)、新疆维吾尔自治区 (2.94%)、广东省 (2.94%)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%)、浙江省 (8.93%)、陕西省 (3.57%)、上海市 (3.57%)、北京市 (3.57%)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(78.31%)、陕西省 (7.23%)、北京市 (3.61%)、新疆维吾尔自治区 (2.41%)、湖北省 (2.41%)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(80.45%)、四川省 (3.76%)、河南省 (3.01%)、湖南省 (2.26%)、河北省 (1.5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(56.9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%)、江苏省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%)、广东省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%)、河南省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%)、湖北省 (5.17%)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(89.86%)、山东省 (2.17%)、天津市 (1.45%)、湖南省 (1.45%)、安徽省 (1.45%)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(94.12%)、北京市 (1.76%)、天津市 (0.59%)、内蒙古自治区 (0.59%)、河北省 (0.59%)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(76.34%)、陕西省 (4.58%)、北京市 (3.82%)、山东省 (3.82%)、浙江省 (2.29%)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(76.84%)、北京市 (4.21%)、新疆维吾尔自治区 (3.68%)、天津市 (2.11%)、陕西省 (2.11%)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(73.81%)、江苏省 (4.76%)、新疆维吾尔自治区 (4.76%)、湖南省 (4.76%)、上海市 (2.38%)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(74.64%)、重庆市 (3.62%)、天津市 (2.9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%)、山东省 (2.9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%)、辽宁省 (2.9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(80.63%)、云南省 (3.13%)、天津市 (2.5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%)、江苏省 (1.88%)、河北省 (1.88%)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(87.06%)、江苏省 (2.35%)、浙江省 (2.35%)、天津市 (1.18%)、内蒙古自治区 (1.18%)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(87.32%)、内蒙古自治区 (2.82%)、四川省 (2.82%)、江苏省 (1.41%)、新疆维吾尔自治区 (1.41%)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(84.62%)、北京市 (7.69%)、河北省 (3.85%)、河南省 (3.85%)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(83.64%)、江苏省 (3.64%)、天津市 (1.82%)、上海市 (1.82%)、湖南省 (1.82%)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(77.21%)、江西省 (4.41%)、内蒙古自治区 (3.68%)、海南省 (3.68%)、北京市 (2.21%)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(55.32%)、甘肃省 (12.77%)、海南省 (10.64%)、陕西省 (8.51%)、新疆维吾尔自治区 (4.26%)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(96.3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%)、新疆维吾尔自治区 (3.7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(80.25%)、北京市 (3.7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%)、浙江省 (3.7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%)、江苏省 (2.47%)、上海市 (2.47%)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(81.25%)、北京市 (12.5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%)、新疆维吾尔自治区 (3.13%)、浙江省 (3.13%)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(92.59%)、浙江省 (7.41%)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(90.0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%)、北京市 (5.0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%)、河北省 (2.5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%)、山东省 (2.5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(93.75%)、北京市 (3.13%)、浙江省 (3.13%)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(64.86%)、贵州省 (9.46%)、吉林省 (6.76%)、湖南省 (5.41%)、江苏省 (4.05%)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(90.22%)、江西省 (2.17%)、江苏省 (1.09%)、陕西省 (1.09%)、上海市 (1.09%)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(90.77%)、新疆维吾尔自治区 (3.08%)、北京市 (3.08%)、上海市 (1.54%)、广东省 (1.54%)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(60.87%)、江苏省 (21.74%)、北京市 (8.7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%)、新疆维吾尔自治区 (4.35%)、浙江省 (4.35%)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(92.19%)、北京市 (3.13%)、新疆维吾尔自治区 (1.56%)、浙江省 (1.56%)、广东省 (1.56%)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345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(52.78%)、浙江省 (8.33%)、海南省 (8.33%)、江苏省 (5.56%)、新疆维吾尔自治区 (5.56%)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345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山西省 (95.0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%)、河南省 (5.0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2"/>
          <w:numId w:val="30"/>
        </w:numPr>
        <w:shd w:val="clear" w:color="auto" w:fill="FFFFFF"/>
        <w:spacing w:before="15" w:after="15" w:line="360" w:lineRule="auto"/>
        <w:jc w:val="left"/>
        <w:outlineLvl w:val="2"/>
        <w:rPr>
          <w:rFonts w:hint="default" w:ascii="Times New Roman" w:hAnsi="Times New Roman" w:cs="Times New Roman"/>
        </w:rPr>
      </w:pPr>
      <w:bookmarkStart w:id="38" w:name="_Toc4528"/>
      <w:r>
        <w:rPr>
          <w:rFonts w:hint="default" w:ascii="Times New Roman" w:hAnsi="Times New Roman" w:eastAsia="黑体" w:cs="Times New Roman"/>
          <w:b/>
          <w:color w:val="0F6FC6"/>
          <w:sz w:val="28"/>
          <w:u w:color="auto"/>
        </w:rPr>
        <w:t>（二）生源地就业地交叉分析</w:t>
      </w:r>
      <w:bookmarkEnd w:id="3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省内生源中，87.62%的毕业生选择留在本省工作，12.38%的毕业生去外省工作。56.36%的省外生源回生源地就业，16.44%的省外生源选择去山西省和生源地之外的其他省份就业，27.2</w:t>
      </w:r>
      <w:r>
        <w:rPr>
          <w:rFonts w:hint="eastAsia"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%的省外生源毕业生选择在山西省内就业。</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64685" cy="2099945"/>
            <wp:effectExtent l="0" t="0" r="12065" b="14605"/>
            <wp:docPr id="1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图3-3  毕业生省内生源地与就业地交叉分析</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96105" cy="2027555"/>
            <wp:effectExtent l="0" t="0" r="4445" b="10795"/>
            <wp:docPr id="1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图3-4  毕业生省外生源地与就业地交叉分析</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2"/>
          <w:numId w:val="31"/>
        </w:numPr>
        <w:shd w:val="clear" w:color="auto" w:fill="FFFFFF"/>
        <w:spacing w:before="15" w:after="15" w:line="360" w:lineRule="auto"/>
        <w:jc w:val="left"/>
        <w:outlineLvl w:val="2"/>
        <w:rPr>
          <w:rFonts w:hint="default" w:ascii="Times New Roman" w:hAnsi="Times New Roman" w:cs="Times New Roman"/>
        </w:rPr>
      </w:pPr>
      <w:bookmarkStart w:id="39" w:name="_Toc19682"/>
      <w:r>
        <w:rPr>
          <w:rFonts w:hint="default" w:ascii="Times New Roman" w:hAnsi="Times New Roman" w:eastAsia="黑体" w:cs="Times New Roman"/>
          <w:b/>
          <w:color w:val="0F6FC6"/>
          <w:sz w:val="28"/>
          <w:u w:color="auto"/>
        </w:rPr>
        <w:t>（三）中西部地区分布</w:t>
      </w:r>
      <w:bookmarkEnd w:id="3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学校2023届毕业生选择在中部地区就业共2896人，选择在西部地区就业共234人。</w:t>
      </w:r>
    </w:p>
    <w:p>
      <w:pPr>
        <w:jc w:val="center"/>
        <w:rPr>
          <w:rFonts w:hint="default" w:ascii="Times New Roman" w:hAnsi="Times New Roman" w:cs="Times New Roman"/>
        </w:rPr>
      </w:pPr>
      <w:r>
        <w:drawing>
          <wp:inline distT="0" distB="0" distL="114300" distR="114300">
            <wp:extent cx="4820285" cy="3646805"/>
            <wp:effectExtent l="0" t="0" r="1841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pic:cNvPicPr>
                  </pic:nvPicPr>
                  <pic:blipFill>
                    <a:blip r:embed="rId67"/>
                    <a:stretch>
                      <a:fillRect/>
                    </a:stretch>
                  </pic:blipFill>
                  <pic:spPr>
                    <a:xfrm>
                      <a:off x="0" y="0"/>
                      <a:ext cx="4820285" cy="3646805"/>
                    </a:xfrm>
                    <a:prstGeom prst="rect">
                      <a:avLst/>
                    </a:prstGeom>
                    <a:noFill/>
                    <a:ln>
                      <a:noFill/>
                    </a:ln>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图3-5  2023届毕业生中西部地区就业情况分布</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2"/>
          <w:numId w:val="32"/>
        </w:numPr>
        <w:shd w:val="clear" w:color="auto" w:fill="FFFFFF"/>
        <w:spacing w:before="15" w:after="15" w:line="360" w:lineRule="auto"/>
        <w:jc w:val="left"/>
        <w:outlineLvl w:val="2"/>
        <w:rPr>
          <w:rFonts w:hint="default" w:ascii="Times New Roman" w:hAnsi="Times New Roman" w:cs="Times New Roman"/>
        </w:rPr>
      </w:pPr>
      <w:bookmarkStart w:id="40" w:name="_Toc12527"/>
      <w:r>
        <w:rPr>
          <w:rFonts w:hint="default" w:ascii="Times New Roman" w:hAnsi="Times New Roman" w:eastAsia="黑体" w:cs="Times New Roman"/>
          <w:b/>
          <w:color w:val="0F6FC6"/>
          <w:sz w:val="28"/>
          <w:u w:color="auto"/>
        </w:rPr>
        <w:t>（四）国家战略区域分布</w:t>
      </w:r>
      <w:bookmarkEnd w:id="4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学校2023届毕业生中到京津冀协同发展区域就业的有148人，到</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一带一路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建设区域就业的有325人，到长江三角洲区域就业的有139人，到长江经济带发展区域就业的有283人，到粤港澳大湾区建设区域就业的有28人</w:t>
      </w:r>
      <w:r>
        <w:rPr>
          <w:rFonts w:hint="eastAsia" w:cs="Times New Roman"/>
          <w:b w:val="0"/>
          <w:color w:val="000000"/>
          <w:sz w:val="24"/>
          <w:u w:color="auto"/>
          <w:lang w:eastAsia="zh-CN"/>
        </w:rPr>
        <w:t>，</w:t>
      </w:r>
      <w:r>
        <w:rPr>
          <w:rFonts w:hint="eastAsia" w:cs="Times New Roman"/>
          <w:b w:val="0"/>
          <w:color w:val="000000"/>
          <w:sz w:val="24"/>
          <w:u w:color="auto"/>
          <w:lang w:val="en-US" w:eastAsia="zh-CN"/>
        </w:rPr>
        <w:t>到海南自贸区就业的有17人</w:t>
      </w:r>
      <w:r>
        <w:rPr>
          <w:rFonts w:hint="default" w:ascii="Times New Roman" w:hAnsi="Times New Roman" w:eastAsia="宋体" w:cs="Times New Roman"/>
          <w:b w:val="0"/>
          <w:color w:val="000000"/>
          <w:sz w:val="24"/>
          <w:u w:color="auto"/>
        </w:rPr>
        <w:t>。</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表3-4  2023届毕业生国家战略区域就业情况分布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国家战略区域分布</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京津冀协同发展区域</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一带一路建设区域</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长江三角洲区域</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长江经济带发展区域</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粤港澳大湾区建设区域</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海南自贸区</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表3-5  2023届毕业生京津冀协同发展区域就业情况分布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京津冀协同发展区域</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北京市</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河北省</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天津市</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表3-6  2023届毕业生一带一路建设区域就业情况分布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一带一路建设区域</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陕西省</w:t>
            </w:r>
          </w:p>
        </w:tc>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浙江省</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新疆维吾尔自治区</w:t>
            </w:r>
          </w:p>
        </w:tc>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广东省</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内蒙古自治区</w:t>
            </w:r>
          </w:p>
        </w:tc>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重庆市</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云南省</w:t>
            </w:r>
          </w:p>
        </w:tc>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海南省</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上海市</w:t>
            </w:r>
          </w:p>
        </w:tc>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甘肃省</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辽宁省</w:t>
            </w:r>
          </w:p>
        </w:tc>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吉林省</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广西壮族自治区</w:t>
            </w:r>
          </w:p>
        </w:tc>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宁夏回族自治区</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西藏自治区</w:t>
            </w:r>
          </w:p>
        </w:tc>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黑龙江省</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福建省</w:t>
            </w:r>
          </w:p>
        </w:tc>
        <w:tc>
          <w:tcPr>
            <w:tcW w:w="4501" w:type="dx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青海省</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表3-7  2023届毕业生长江三角洲区域就业情况分布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长江三角洲区域</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上海市</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江苏省</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浙江省</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安徽省</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表3-8   2023届毕业生长江经济带发展区域就业情况分布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长江经济带发展区域</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江苏省</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浙江省</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湖南省</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安徽省</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四川省</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湖北省</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贵州省</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云南省</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重庆市</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上海市</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江西省</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表3-9  2023届毕业生粤港澳大湾区建设区域就业情况分布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粤港澳大湾区建设区域</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广东省</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w:t>
      </w:r>
      <w:r>
        <w:rPr>
          <w:rFonts w:hint="eastAsia" w:cs="Times New Roman"/>
          <w:b/>
          <w:color w:val="0F6FC6"/>
          <w:sz w:val="21"/>
          <w:u w:color="auto"/>
          <w:lang w:val="en-US" w:eastAsia="zh-CN"/>
        </w:rPr>
        <w:t>10</w:t>
      </w:r>
      <w:r>
        <w:rPr>
          <w:rFonts w:hint="default" w:ascii="Times New Roman" w:hAnsi="Times New Roman" w:eastAsia="宋体" w:cs="Times New Roman"/>
          <w:b/>
          <w:color w:val="0F6FC6"/>
          <w:sz w:val="21"/>
          <w:u w:color="auto"/>
        </w:rPr>
        <w:t xml:space="preserve">  2023届毕业生</w:t>
      </w:r>
      <w:r>
        <w:rPr>
          <w:rFonts w:hint="eastAsia" w:cs="Times New Roman"/>
          <w:b/>
          <w:color w:val="0F6FC6"/>
          <w:sz w:val="21"/>
          <w:u w:color="auto"/>
          <w:lang w:val="en-US" w:eastAsia="zh-CN"/>
        </w:rPr>
        <w:t>海南自贸区</w:t>
      </w:r>
      <w:r>
        <w:rPr>
          <w:rFonts w:hint="default" w:ascii="Times New Roman" w:hAnsi="Times New Roman" w:eastAsia="宋体" w:cs="Times New Roman"/>
          <w:b/>
          <w:color w:val="0F6FC6"/>
          <w:sz w:val="21"/>
          <w:u w:color="auto"/>
        </w:rPr>
        <w:t>就业情况分布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hint="eastAsia" w:ascii="Times New Roman" w:hAnsi="Times New Roman" w:eastAsia="宋体" w:cs="Times New Roman"/>
                <w:lang w:eastAsia="zh-CN"/>
              </w:rPr>
            </w:pPr>
            <w:r>
              <w:rPr>
                <w:rFonts w:hint="eastAsia" w:cs="Times New Roman"/>
                <w:b/>
                <w:color w:val="FFFFFF"/>
                <w:sz w:val="22"/>
                <w:u w:color="auto"/>
                <w:lang w:val="en-US" w:eastAsia="zh-CN"/>
              </w:rPr>
              <w:t>海南自贸区</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eastAsia" w:cs="Times New Roman"/>
                <w:color w:val="000000"/>
                <w:sz w:val="22"/>
                <w:u w:color="auto"/>
                <w:lang w:val="en-US" w:eastAsia="zh-CN"/>
              </w:rPr>
              <w:t>海南</w:t>
            </w:r>
            <w:r>
              <w:rPr>
                <w:rFonts w:hint="default" w:ascii="Times New Roman" w:hAnsi="Times New Roman" w:eastAsia="宋体" w:cs="Times New Roman"/>
                <w:color w:val="000000"/>
                <w:sz w:val="22"/>
                <w:u w:color="auto"/>
              </w:rPr>
              <w:t>省</w:t>
            </w:r>
          </w:p>
        </w:tc>
        <w:tc>
          <w:tcPr>
            <w:tcW w:w="2500" w:type="pct"/>
            <w:vAlign w:val="center"/>
          </w:tcPr>
          <w:p>
            <w:pPr>
              <w:jc w:val="center"/>
              <w:rPr>
                <w:rFonts w:hint="default" w:ascii="Times New Roman" w:hAnsi="Times New Roman" w:eastAsia="宋体" w:cs="Times New Roman"/>
                <w:lang w:val="en-US" w:eastAsia="zh-CN"/>
              </w:rPr>
            </w:pPr>
            <w:r>
              <w:rPr>
                <w:rFonts w:hint="eastAsia" w:cs="Times New Roman"/>
                <w:color w:val="000000"/>
                <w:sz w:val="22"/>
                <w:u w:color="auto"/>
                <w:lang w:val="en-US" w:eastAsia="zh-CN"/>
              </w:rPr>
              <w:t>17</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1"/>
          <w:numId w:val="33"/>
        </w:numPr>
        <w:bidi w:val="0"/>
        <w:rPr>
          <w:rFonts w:hint="default"/>
        </w:rPr>
      </w:pPr>
      <w:bookmarkStart w:id="41" w:name="_Toc13450"/>
    </w:p>
    <w:p>
      <w:pPr>
        <w:numPr>
          <w:ilvl w:val="1"/>
          <w:numId w:val="33"/>
        </w:numPr>
        <w:shd w:val="clear" w:color="auto" w:fill="FFFFFF"/>
        <w:spacing w:before="15" w:after="15" w:line="360" w:lineRule="auto"/>
        <w:jc w:val="left"/>
        <w:outlineLvl w:val="1"/>
        <w:rPr>
          <w:rFonts w:hint="default" w:ascii="Times New Roman" w:hAnsi="Times New Roman" w:cs="Times New Roman"/>
        </w:rPr>
      </w:pPr>
      <w:r>
        <w:rPr>
          <w:rFonts w:hint="default" w:ascii="Times New Roman" w:hAnsi="Times New Roman" w:eastAsia="黑体" w:cs="Times New Roman"/>
          <w:b/>
          <w:color w:val="0F6FC6"/>
          <w:sz w:val="30"/>
          <w:u w:color="auto"/>
        </w:rPr>
        <w:t>二、毕业生就业行业分布</w:t>
      </w:r>
      <w:bookmarkEnd w:id="4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通过调研分析毕业生就业行业流向，可以有效掌握毕业生就业规律，为学校未来的就业指导和服务工作提供决策参考。</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学校2023届毕业生行业布局与学校专业设置及培养定位相契合；主要流向了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教育</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（20.24%）、</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批发和零售业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（13.76%）及</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制造业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（10.58%）。</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020945" cy="3883025"/>
            <wp:effectExtent l="0" t="0" r="8255" b="3175"/>
            <wp:docPr id="2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图3-6  2023届毕业生就业量最大的前十个行业分布（单位：%）</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的就业行业分布如下：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表3-1</w:t>
      </w:r>
      <w:r>
        <w:rPr>
          <w:rFonts w:hint="eastAsia" w:cs="Times New Roman"/>
          <w:b/>
          <w:color w:val="0F6FC6"/>
          <w:sz w:val="21"/>
          <w:u w:color="auto"/>
          <w:lang w:val="en-US" w:eastAsia="zh-CN"/>
        </w:rPr>
        <w:t>1</w:t>
      </w:r>
      <w:r>
        <w:rPr>
          <w:rFonts w:hint="default" w:ascii="Times New Roman" w:hAnsi="Times New Roman" w:eastAsia="宋体" w:cs="Times New Roman"/>
          <w:b/>
          <w:color w:val="0F6FC6"/>
          <w:sz w:val="21"/>
          <w:u w:color="auto"/>
        </w:rPr>
        <w:t xml:space="preserve">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毕业生就业行业分布</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229"/>
        <w:gridCol w:w="6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23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376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就业行业分布（前五）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37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(23.13%)、文化、体育和娱乐业 (18.66%)、批发和零售业 (14.18%)、信息传输、软件和信息技术服务业 (8.96%)、建筑业 (5.97%)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37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(41.78%)、文化、体育和娱乐业 (14.22%)、批发和零售业 (12.0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%)、建筑业 (5.78%)、信息传输、软件和信息技术服务业 (4.44%)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37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(21.2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%)、批发和零售业 (13.75%)、制造业 (9.74%)、文化、体育和娱乐业 (9.46%)、居民服务、修理和其他服务业 (7.16%)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37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批发和零售业 (27.4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%)、制造业 (15.07%)、教育 (9.59%)、建筑业 (8.22%)、文化、体育和娱乐业 (5.48%)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37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(35.4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%)、采矿业 (8.85%)、电力、热力、燃气及水生产和供应业 (8.41%)、批发和零售业 (6.64%)、金融业 (5.75%)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37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建筑业 (14.29%)、制造业 (11.06%)、批发和零售业 (10.6</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%)、金融业 (8.76%)、文化、体育和娱乐业 (7.37%)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37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信息传输、软件和信息技术服务业 (36.36%)、批发和零售业 (12.99%)、教育 (7.14%)、居民服务、修理和其他服务业 (6.49%)、科学研究和技术服务业 (5.84%)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37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住宿和餐饮业 (34.09%)、文化、体育和娱乐业 (11.93%)、批发和零售业 (7.95%)、教育 (6.25%)、租赁和商务服务业 (5.68%)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37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(48.72%)、批发和零售业 (25.64%)、科学研究和技术服务业 (7.69%)、教育 (5.13%)、居民服务、修理和其他服务业 (5.13%)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37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(18.6</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%)、制造业 (16.28%)、批发和零售业 (14.73%)、科学研究和技术服务业 (8.53%)、建筑业 (8.53%)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37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批发和零售业 (33.33%)、文化、体育和娱乐业 (20.0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%)、住宿和餐饮业 (16.67%)、农、林、牧、渔业 (13.33%)、公共管理、社会保障和社会组织 (6.67%)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37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(19.3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%)、批发和零售业 (18.42%)、制造业 (15.79%)、农、林、牧、渔业 (10.53%)、科学研究和技术服务业 (6.14%)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37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(41.62%)、批发和零售业 (15.74%)、建筑业 (8.63%)、信息传输、软件和信息技术服务业 (5.08%)、文化、体育和娱乐业 (4.57%)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37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(27.51%)、文化、体育和娱乐业 (16.93%)、建筑业 (11.64%)、批发和零售业 (8.99%)、科学研究和技术服务业 (7.94%)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37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%)、批发和零售业 (23.72%)、住宿和餐饮业 (8.97%)、租赁和商务服务业 (7.69%)、公共管理、社会保障和社会组织 (3.85%)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37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(34.07%)、批发和零售业 (11.11%)、建筑业 (9.63%)、信息传输、软件和信息技术服务业 (9.63%)、制造业 (8.89%)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37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(22.73%)、批发和零售业 (19.7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%)、文化、体育和娱乐业 (12.12%)、住宿和餐饮业 (12.12%)、制造业 (7.58%)</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各专业的就业行业分布如下：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w:t>
      </w:r>
      <w:r>
        <w:rPr>
          <w:rFonts w:hint="eastAsia" w:cs="Times New Roman"/>
          <w:b/>
          <w:color w:val="0F6FC6"/>
          <w:sz w:val="21"/>
          <w:u w:color="auto"/>
          <w:lang w:val="en-US" w:eastAsia="zh-CN"/>
        </w:rPr>
        <w:t>12</w:t>
      </w:r>
      <w:r>
        <w:rPr>
          <w:rFonts w:hint="default" w:ascii="Times New Roman" w:hAnsi="Times New Roman" w:eastAsia="宋体" w:cs="Times New Roman"/>
          <w:b/>
          <w:color w:val="0F6FC6"/>
          <w:sz w:val="21"/>
          <w:u w:color="auto"/>
        </w:rPr>
        <w:t xml:space="preserve">  2023届各专业毕业生就业行业分布</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709"/>
        <w:gridCol w:w="6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50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349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就业行业分布（前五）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(21.74%)、文化、体育和娱乐业 (18.26%)、批发和零售业 (14.78%)、信息传输、软件和信息技术服务业 (9.57%)、建筑业 (6.09%)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批发和零售业 (17.39%)、住宿和餐饮业 (11.59%)、制造业 (10.14%)、信息传输、软件和信息技术服务业 (10.14%)、文化、体育和娱乐业 (8.7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(26.32%)、制造业 (12.63%)、批发和零售业 (12.11%)、文化、体育和娱乐业 (8.42%)、居民服务、修理和其他服务业 (8.42%)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批发和零售业 (22.92%)、制造业 (16.67%)、教育 (12.5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%)、建筑业 (12.5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%)、居民服务、修理和其他服务业 (8.33%)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(40.54%)、电力、热力、燃气及水生产和供应业 (13.51%)、采矿业 (10.81%)、居民服务、修理和其他服务业 (5.41%)、信息传输、软件和信息技术服务业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(12.73%)、建筑业 (12.73%)、批发和零售业 (9.09%)、居民服务、修理和其他服务业 (9.09%)、科学研究和技术服务业 (7.27%)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信息传输、软件和信息技术服务业 (53.7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%)、科学研究和技术服务业 (9.26%)、批发和零售业 (7.41%)、制造业 (7.41%)、教育 (5.56%)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文化、体育和娱乐业 (23.33%)、住宿和餐饮业 (16.67%)、批发和零售业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%)、教育 (6.67%)、公共管理、社会保障和社会组织 (6.67%)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(48.72%)、批发和零售业 (25.64%)、科学研究和技术服务业 (7.69%)、教育 (5.13%)、居民服务、修理和其他服务业 (5.13%)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(33.33%)、批发和零售业 (13.33%)、科学研究和技术服务业 (11.11%)、建筑业 (8.89%)、农、林、牧、渔业 (8.89%)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批发和零售业 (33.33%)、文化、体育和娱乐业 (20.0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%)、住宿和餐饮业 (16.67%)、农、林、牧、渔业 (13.33%)、公共管理、社会保障和社会组织 (6.67%)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%)、交通运输、仓储和邮政业 (16.67%)、金融业 (8.33%)、采矿业 (8.33%)、科学研究和技术服务业 (6.25%)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(27.4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%)、批发和零售业 (13.7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%)、租赁和商务服务业 (12.33%)、文化、体育和娱乐业 (8.22%)、居民服务、修理和其他服务业 (8.22%)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(44.7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%)、批发和零售业 (14.39%)、文化、体育和娱乐业 (11.36%)、建筑业 (6.06%)、住宿和餐饮业 (3.79%)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(27.59%)、科学研究和技术服务业 (13.79%)、批发和零售业 (10.34%)、住宿和餐饮业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%)、卫生和社会工作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(47.02%)、批发和零售业 (15.48%)、建筑业 (7.14%)、文化、体育和娱乐业 (4.76%)、信息传输、软件和信息技术服务业 (4.76%)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建筑业 (22.86%)、教育 (17.14%)、批发和零售业 (11.43%)、制造业 (8.57%)、住宿和餐饮业 (8.57%)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(29.31%)、批发和零售业 (21.55%)、住宿和餐饮业 (8.62%)、租赁和商务服务业 (8.62%)、公共管理、社会保障和社会组织 (4.31%)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(51.19%)、居民服务、修理和其他服务业 (10.71%)、批发和零售业 (9.52%)、建筑业 (4.76%)、交通运输、仓储和邮政业 (4.76%)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(30.65%)、批发和零售业 (20.97%)、制造业 (6.45%)、农、林、牧、渔业 (6.45%)、建筑业 (4.84%)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(36.25%)、文化、体育和娱乐业 (15.0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%)、建筑业 (12.5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%)、科学研究和技术服务业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%)、批发和零售业 (8.75%)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住宿和餐饮业 (43.33%)、文化、体育和娱乐业 (6.67%)、批发和零售业 (5.83%)、租赁和商务服务业 (5.83%)、制造业 (5.0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(31.58%)、文化、体育和娱乐业 (21.05%)、批发和零售业 (10.53%)、公共管理、社会保障和社会组织 (10.53%)、房地产业 (10.53%)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建筑业 (15.22%)、批发和零售业 (13.04%)、文化、体育和娱乐业 (13.04%)、金融业 (10.87%)、制造业 (8.7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文化、体育和娱乐业 (29.41%)、批发和零售业 (17.65%)、教育 (11.76%)、建筑业 (11.76%)、科学研究和技术服务业 (5.88%)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建筑业 (14.66%)、制造业 (11.21%)、批发和零售业 (10.34%)、金融业 (10.34%)、信息传输、软件和信息技术服务业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批发和零售业 (17.24%)、建筑业 (17.24%)、教育 (10.34%)、居民服务、修理和其他服务业 (10.34%)、住宿和餐饮业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(47.06%)、科学研究和技术服务业 (17.65%)、文化、体育和娱乐业 (11.76%)、批发和零售业 (5.88%)、居民服务、修理和其他服务业 (5.88%)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批发和零售业 (30.0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%)、教育 (12.5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%)、制造业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%)、住宿和餐饮业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%)、居民服务、修理和其他服务业 (5.0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信息传输、软件和信息技术服务业 (32.35%)、批发和零售业 (19.12%)、教育 (10.29%)、金融业 (8.82%)、居民服务、修理和其他服务业 (5.88%)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批发和零售业 (16.67%)、金融业 (16.67%)、制造业 (12.5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%)、建筑业 (12.5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%)、卫生和社会工作 (12.5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文化、体育和娱乐业 (23.08%)、批发和零售业 (15.38%)、教育 (15.38%)、住宿和餐饮业 (11.54%)、科学研究和技术服务业 (7.69%)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(63.16%)、批发和零售业 (10.53%)、电力、热力、燃气及水生产和供应业 (10.53%)、采矿业 (5.26%)、信息传输、软件和信息技术服务业 (5.26%)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(26.09%)、农、林、牧、渔业 (26.09%)、批发和零售业 (21.74%)、教育 (8.7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%)、住宿和餐饮业 (8.7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(29.17%)、批发和零售业 (16.67%)、建筑业 (9.72%)、居民服务、修理和其他服务业 (8.33%)、住宿和餐饮业 (5.56%)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文化、体育和娱乐业 (29.82%)、教育 (15.79%)、制造业 (10.53%)、批发和零售业 (8.77%)、信息传输、软件和信息技术服务业 (7.02%)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(38.04%)、文化、体育和娱乐业 (18.48%)、批发和零售业 (7.61%)、信息传输、软件和信息技术服务业 (6.52%)、建筑业 (5.43%)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(21.62%)、批发和零售业 (18.92%)、信息传输、软件和信息技术服务业 (16.22%)、建筑业 (13.51%)、教育 (8.11%)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(23.33%)、采矿业 (16.67%)、公共管理、社会保障和社会组织 (13.33%)、电力、热力、燃气及水生产和供应业 (13.33%)、科学研究和技术服务业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制造业 (32.26%)、居民服务、修理和其他服务业 (12.9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%)、信息传输、软件和信息技术服务业 (12.9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%)、批发和零售业 (6.45%)、金融业 (6.45%)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居民服务、修理和其他服务业 (15.63%)、信息传输、软件和信息技术服务业 (15.63%)、批发和零售业 (9.38%)、文化、体育和娱乐业 (9.38%)、建筑业 (9.38%)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 (22.73%)、批发和零售业 (19.7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%)、文化、体育和娱乐业 (12.12%)、住宿和餐饮业 (12.12%)、制造业 (7.58%)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科学研究和技术服务业 (25.0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%)、制造业 (25.0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%)、批发和零售业 (8.33%)、教育 (8.33%)、文化、体育和娱乐业 (8.33%)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34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批发和零售业 (36.0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%)、制造业 (12.0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%)、文化、体育和娱乐业 (12.0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%)、科学研究和技术服务业 (8.0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%)、电力、热力、燃气及水生产和供应业 (8.0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34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信息传输、软件和信息技术服务业 (42.86%)、建筑业 (28.57%)、租赁和商务服务业 (14.29%)、制造业 (7.14%)、金融业 (7.14%)</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1"/>
          <w:numId w:val="34"/>
        </w:numPr>
        <w:shd w:val="clear" w:color="auto" w:fill="FFFFFF"/>
        <w:spacing w:before="15" w:after="15" w:line="360" w:lineRule="auto"/>
        <w:jc w:val="left"/>
        <w:outlineLvl w:val="1"/>
        <w:rPr>
          <w:rFonts w:hint="default" w:ascii="Times New Roman" w:hAnsi="Times New Roman" w:cs="Times New Roman"/>
        </w:rPr>
      </w:pPr>
      <w:bookmarkStart w:id="42" w:name="_Toc2145"/>
      <w:r>
        <w:rPr>
          <w:rFonts w:hint="default" w:ascii="Times New Roman" w:hAnsi="Times New Roman" w:eastAsia="黑体" w:cs="Times New Roman"/>
          <w:b/>
          <w:color w:val="0F6FC6"/>
          <w:sz w:val="30"/>
          <w:u w:color="auto"/>
        </w:rPr>
        <w:t>三、毕业生就业职业分布</w:t>
      </w:r>
      <w:bookmarkEnd w:id="4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通过调研分析毕业生就业职业分布情况，可以了解学生在就业市场上的优势和局限，进而有助于学校优化完善人才培养模式，提高人才培养水平，确保毕业生更高质量就业。</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2023届毕业生所从事的职业主要为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其他人员</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，占比为43.19%；其次为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教学人员</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（16.94%）及</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商业和服务业人员</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（9.78%）。</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19905" cy="3999865"/>
            <wp:effectExtent l="0" t="0" r="4445" b="635"/>
            <wp:docPr id="2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图3-7  2023届毕业生就业量最大的前十个职业分布（单位：%）</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的就业职业分布如下：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表3-1</w:t>
      </w:r>
      <w:r>
        <w:rPr>
          <w:rFonts w:hint="eastAsia" w:cs="Times New Roman"/>
          <w:b/>
          <w:color w:val="0F6FC6"/>
          <w:sz w:val="21"/>
          <w:u w:color="auto"/>
          <w:lang w:val="en-US" w:eastAsia="zh-CN"/>
        </w:rPr>
        <w:t>3</w:t>
      </w:r>
      <w:r>
        <w:rPr>
          <w:rFonts w:hint="default" w:ascii="Times New Roman" w:hAnsi="Times New Roman" w:eastAsia="宋体" w:cs="Times New Roman"/>
          <w:b/>
          <w:color w:val="0F6FC6"/>
          <w:sz w:val="21"/>
          <w:u w:color="auto"/>
        </w:rPr>
        <w:t xml:space="preserve">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毕业生就业职业分布</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379"/>
        <w:gridCol w:w="6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322"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3677" w:type="pct"/>
            <w:shd w:val="clear" w:color="auto" w:fill="0F6FC6"/>
            <w:vAlign w:val="center"/>
          </w:tcPr>
          <w:p>
            <w:pPr>
              <w:jc w:val="center"/>
              <w:rPr>
                <w:rFonts w:hint="eastAsia" w:ascii="Times New Roman" w:hAnsi="Times New Roman" w:eastAsia="宋体" w:cs="Times New Roman"/>
                <w:lang w:eastAsia="zh-CN"/>
              </w:rPr>
            </w:pPr>
            <w:r>
              <w:rPr>
                <w:rFonts w:hint="default" w:ascii="Times New Roman" w:hAnsi="Times New Roman" w:eastAsia="宋体" w:cs="Times New Roman"/>
                <w:b/>
                <w:color w:val="FFFFFF"/>
                <w:sz w:val="22"/>
                <w:u w:color="auto"/>
              </w:rPr>
              <w:t>工作职位类别</w:t>
            </w:r>
            <w:r>
              <w:rPr>
                <w:rFonts w:hint="eastAsia" w:cs="Times New Roman"/>
                <w:b/>
                <w:color w:val="FFFFFF"/>
                <w:sz w:val="22"/>
                <w:u w:color="auto"/>
                <w:lang w:eastAsia="zh-CN"/>
              </w:rPr>
              <w:t>（</w:t>
            </w:r>
            <w:r>
              <w:rPr>
                <w:rFonts w:hint="eastAsia" w:cs="Times New Roman"/>
                <w:b/>
                <w:color w:val="FFFFFF"/>
                <w:sz w:val="22"/>
                <w:u w:color="auto"/>
                <w:lang w:val="en-US" w:eastAsia="zh-CN"/>
              </w:rPr>
              <w:t>前五</w:t>
            </w:r>
            <w:r>
              <w:rPr>
                <w:rFonts w:hint="eastAsia" w:cs="Times New Roman"/>
                <w:b/>
                <w:color w:val="FFFFFF"/>
                <w:sz w:val="22"/>
                <w:u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36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(44.27%)、体育工作人员 (29.77%)、教学人员 (11.45%)、其他专业技术人员 (5.34%)、商业和服务业人员 (3.05%)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36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教学人员 (38.12%)、其他人员 (35.43%)、商业和服务业人员 (8.97%)、文学艺术工作人员 (7.62%)、办事人员和有关人员 (6.28%)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36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(48.83%)、教学人员 (17.25%)、商业和服务业人员 (9.94%)、办事人员和有关人员 (9.65%)、新闻出版和文化工作人员 (5.85%)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36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(64.81%)、工程技术人员 (9.26%)、其他专业技术人员 (7.41%)、教学人员 (7.41%)、办事人员和有关人员 (3.7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36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(34.08%)、工程技术人员 (31.84%)、其他专业技术人员 (12.11%)、生产和运输设备操作人员 (8.07%)、金融业务人员 (3.59%)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36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(37.85%)、经济业务人员 (34.58%)、办事人员和有关人员 (8.41%)、金融业务人员 (6.07%)、商业和服务业人员 (5.61%)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36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(40.69%)、工程技术人员 (22.07%)、其他专业技术人员 (13.1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%)、商业和服务业人员 (6.21%)、办事人员和有关人员 (5.52%)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36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(43.18%)、商业和服务业人员 (39.77%)、办事人员和有关人员 (9.09%)、教学人员 (2.27%)、其他专业技术人员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36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(48.72%)、工程技术人员 (23.08%)、其他专业技术人员 (7.69%)、教学人员 (5.13%)、商业和服务业人员 (5.13%)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36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(52.07%)、教学人员 (14.88%)、其他专业技术人员 (12.4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%)、工程技术人员 (7.44%)、科学研究人员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36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%)、教学人员 (15.79%)、商业和服务业人员 (11.4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%)、生产和运输设备操作人员 (7.02%)、其他专业技术人员 (5.26%)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36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教学人员 (41.05%)、其他人员 (36.84%)、商业和服务业人员 (12.11%)、办事人员和有关人员 (5.26%)、工程技术人员 (2.11%)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36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(48.39%)、教学人员 (23.12%)、文学艺术工作人员 (11.29%)、其他专业技术人员 (6.45%)、办事人员和有关人员 (5.38%)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36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(39.61%)、教学人员 (24.68%)、商业和服务业人员 (19.48%)、办事人员和有关人员 (9.74%)、其他专业技术人员 (1.95%)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36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(48.85%)、教学人员 (29.77%)、其他专业技术人员 (8.4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%)、工程技术人员 (6.11%)、商业和服务业人员 (3.05%)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36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办事人员和有关人员 (52.94%)、其他人员 (29.41%)、金融业务人员 (5.88%)、工程技术人员 (5.88%)、商业和服务业人员 (5.88%)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36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(46.97%)、教学人员 (18.18%)、商业和服务业人员 (18.18%)、办事人员和有关人员 (9.09%)、其他专业技术人员 (3.03%)</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各专业的就业职业分布如下：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表3-1</w:t>
      </w:r>
      <w:r>
        <w:rPr>
          <w:rFonts w:hint="eastAsia" w:cs="Times New Roman"/>
          <w:b/>
          <w:color w:val="0F6FC6"/>
          <w:sz w:val="21"/>
          <w:u w:color="auto"/>
          <w:lang w:val="en-US" w:eastAsia="zh-CN"/>
        </w:rPr>
        <w:t>4</w:t>
      </w:r>
      <w:r>
        <w:rPr>
          <w:rFonts w:hint="default" w:ascii="Times New Roman" w:hAnsi="Times New Roman" w:eastAsia="宋体" w:cs="Times New Roman"/>
          <w:b/>
          <w:color w:val="0F6FC6"/>
          <w:sz w:val="21"/>
          <w:u w:color="auto"/>
        </w:rPr>
        <w:t xml:space="preserve">  2023届各专业毕业生就业职业分布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934"/>
        <w:gridCol w:w="6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blHeader/>
        </w:trPr>
        <w:tc>
          <w:tcPr>
            <w:tcW w:w="1629"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3370" w:type="pct"/>
            <w:shd w:val="clear" w:color="auto" w:fill="0F6FC6"/>
            <w:vAlign w:val="center"/>
          </w:tcPr>
          <w:p>
            <w:pPr>
              <w:jc w:val="center"/>
              <w:rPr>
                <w:rFonts w:hint="eastAsia" w:ascii="Times New Roman" w:hAnsi="Times New Roman" w:eastAsia="宋体" w:cs="Times New Roman"/>
                <w:lang w:eastAsia="zh-CN"/>
              </w:rPr>
            </w:pPr>
            <w:r>
              <w:rPr>
                <w:rFonts w:hint="default" w:ascii="Times New Roman" w:hAnsi="Times New Roman" w:eastAsia="宋体" w:cs="Times New Roman"/>
                <w:b/>
                <w:color w:val="FFFFFF"/>
                <w:sz w:val="22"/>
                <w:u w:color="auto"/>
              </w:rPr>
              <w:t>工作职位类别</w:t>
            </w:r>
            <w:r>
              <w:rPr>
                <w:rFonts w:hint="eastAsia" w:cs="Times New Roman"/>
                <w:b/>
                <w:color w:val="FFFFFF"/>
                <w:sz w:val="22"/>
                <w:u w:color="auto"/>
                <w:lang w:eastAsia="zh-CN"/>
              </w:rPr>
              <w:t>（</w:t>
            </w:r>
            <w:r>
              <w:rPr>
                <w:rFonts w:hint="eastAsia" w:cs="Times New Roman"/>
                <w:b/>
                <w:color w:val="FFFFFF"/>
                <w:sz w:val="22"/>
                <w:u w:color="auto"/>
                <w:lang w:val="en-US" w:eastAsia="zh-CN"/>
              </w:rPr>
              <w:t>前五</w:t>
            </w:r>
            <w:r>
              <w:rPr>
                <w:rFonts w:hint="eastAsia" w:cs="Times New Roman"/>
                <w:b/>
                <w:color w:val="FFFFFF"/>
                <w:sz w:val="22"/>
                <w:u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(45.22%)、体育工作人员 (26.96%)、教学人员 (12.17%)、其他专业技术人员 (6.09%)、商业和服务业人员 (3.48%)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(47.76%)、商业和服务业人员 (16.42%)、新闻出版和文化工作人员 (11.94%)、办事人员和有关人员 (10.45%)、其他专业技术人员 (4.48%)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(48.68%)、教学人员 (20.63%)、办事人员和有关人员 (11.11%)、商业和服务业人员 (8.99%)、新闻出版和文化工作人员 (3.7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(74.42%)、教学人员 (9.3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%)、其他专业技术人员 (4.65%)、办事人员和有关人员 (4.65%)、金融业务人员 (2.33%)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(36.49%)、工程技术人员 (36.49%)、其他专业技术人员 (10.81%)、生产和运输设备操作人员 (8.11%)、金融业务人员 (2.7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(27.27%)、办事人员和有关人员 (25.45%)、经济业务人员 (21.82%)、商业和服务业人员 (9.09%)、公务员 (5.45%)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(34.62%)、工程技术人员 (30.77%)、其他专业技术人员 (15.38%)、教学人员 (7.69%)、科学研究人员 (3.85%)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(46.67%)、商业和服务业人员 (33.33%)、教学人员 (6.67%)、公务员 (6.67%)、其他专业技术人员 (3.33%)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(48.72%)、工程技术人员 (23.08%)、其他专业技术人员 (7.69%)、教学人员 (5.13%)、商业和服务业人员 (5.13%)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(46.34%)、其他专业技术人员 (19.51%)、工程技术人员 (17.07%)、科学研究人员 (7.32%)、商业和服务业人员 (4.88%)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(33.33%)、工程技术人员 (27.08%)、生产和运输设备操作人员 (14.58%)、其他专业技术人员 (10.42%)、金融业务人员 (6.25%)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(49.28%)、教学人员 (27.54%)、商业和服务业人员 (8.7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%)、办事人员和有关人员 (5.8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%)、其他专业技术人员 (2.9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教学人员 (40.46%)、其他人员 (34.35%)、商业和服务业人员 (8.4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%)、文学艺术工作人员 (7.63%)、办事人员和有关人员 (5.34%)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(51.72%)、工程技术人员 (10.34%)、科学研究人员 (10.34%)、其他专业技术人员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%)、办事人员和有关人员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教学人员 (45.68%)、其他人员 (32.72%)、商业和服务业人员 (12.35%)、办事人员和有关人员 (4.94%)、工程技术人员 (2.47%)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(62.86%)、其他专业技术人员 (11.43%)、教学人员 (11.43%)、公务员 (5.71%)、办事人员和有关人员 (2.86%)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(37.93%)、教学人员 (27.59%)、商业和服务业人员 (17.24%)、办事人员和有关人员 (11.21%)、其他专业技术人员 (2.59%)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教学人员 (48.15%)、其他人员 (44.44%)、商业和服务业人员 (3.7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%)、金融业务人员 (2.47%)、其他专业技术人员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(48.39%)、教学人员 (24.19%)、商业和服务业人员 (16.13%)、其他专业技术人员 (4.84%)、办事人员和有关人员 (1.61%)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%)、教学人员 (32.5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%)、办事人员和有关人员 (8.75%)、文学艺术工作人员 (8.75%)、其他专业技术人员 (3.75%)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商业和服务业人员 (43.33%)、其他人员 (40.83%)、办事人员和有关人员 (11.67%)、其他专业技术人员 (0.83%)、教学人员 (0.83%)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体育工作人员 (50.0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%)、其他人员 (37.5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%)、教学人员 (6.25%)、办事人员和有关人员 (6.25%)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经济业务人员 (45.65%)、其他人员 (34.78%)、公务员 (4.35%)、金融业务人员 (4.35%)、商业和服务业人员 (4.35%)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(52.94%)、新闻出版和文化工作人员 (29.41%)、其他专业技术人员 (5.88%)、办事人员和有关人员 (5.88%)、经济业务人员 (5.88%)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(44.25%)、经济业务人员 (36.28%)、金融业务人员 (7.96%)、商业和服务业人员 (4.42%)、办事人员和有关人员 (3.54%)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(60.71%)、教学人员 (14.29%)、商业和服务业人员 (10.71%)、办事人员和有关人员 (7.14%)、体育工作人员 (3.57%)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(41.18%)、教学人员 (41.18%)、商业和服务业人员 (5.88%)、文学艺术工作人员 (5.88%)、生产和运输设备操作人员 (5.88%)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(44.74%)、商业和服务业人员 (26.32%)、教学人员 (15.79%)、办事人员和有关人员 (5.26%)、经济业务人员 (5.26%)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(34.43%)、工程技术人员 (21.31%)、其他专业技术人员 (16.39%)、办事人员和有关人员 (9.84%)、商业和服务业人员 (6.56%)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(58.33%)、工程技术人员 (16.67%)、其他专业技术人员 (8.33%)、教学人员 (4.17%)、金融业务人员 (4.17%)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%)、商业和服务业人员 (30.77%)、教学人员 (3.85%)、办事人员和有关人员 (3.85%)、金融业务人员 (3.85%)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(52.17%)、生产和运输设备操作人员 (26.09%)、教学人员 (8.7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%)、其他专业技术人员 (4.35%)、工程技术人员 (4.35%)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(61.43%)、教学人员 (22.86%)、其他专业技术人员 (5.71%)、商业和服务业人员 (2.86%)、办事人员和有关人员 (1.43%)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办事人员和有关人员 (52.94%)、其他人员 (29.41%)、金融业务人员 (5.88%)、工程技术人员 (5.88%)、商业和服务业人员 (5.88%)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(36.26%)、教学人员 (35.16%)、商业和服务业人员 (9.89%)、办事人员和有关人员 (7.69%)、文学艺术工作人员 (7.69%)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%)、文学艺术工作人员 (24.07%)、教学人员 (11.11%)、其他专业技术人员 (9.26%)、办事人员和有关人员 (3.7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(58.33%)、其他专业技术人员 (19.44%)、工程技术人员 (16.67%)、公务员 (2.78%)、办事人员和有关人员 (2.78%)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工程技术人员 (50.0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%)、其他人员 (16.67%)、生产和运输设备操作人员 (16.67%)、其他专业技术人员 (11.11%)、科学研究人员 (5.56%)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工程技术人员 (36.67%)、其他专业技术人员 (20.0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%)、其他人员 (13.33%)、公务员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%)、商业和服务业人员 (6.67%)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(62.5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%)、商业和服务业人员 (12.5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%)、工程技术人员 (9.38%)、公务员 (6.25%)、其他专业技术人员 (3.13%)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(46.97%)、教学人员 (18.18%)、商业和服务业人员 (18.18%)、办事人员和有关人员 (9.09%)、其他专业技术人员 (3.03%)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(41.38%)、工程技术人员 (24.14%)、其他专业技术人员 (13.79%)、办事人员和有关人员 (13.79%)、金融业务人员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其他专业技术人员 (30.0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%)、工程技术人员 (20.0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%)、其他人员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%)、教学人员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%)、办事人员和有关人员 (10.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33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工程技术人员 (45.45%)、其他人员 (27.27%)、其他专业技术人员 (18.18%)、金融业务人员 (9.09%)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2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33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其他人员 (50.0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%)、其他专业技术人员 (21.43%)、工程技术人员 (14.29%)、办事人员和有关人员 (7.14%)、商业和服务业人员 (7.14%)</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1"/>
          <w:numId w:val="35"/>
        </w:numPr>
        <w:shd w:val="clear" w:color="auto" w:fill="FFFFFF"/>
        <w:spacing w:before="15" w:after="15" w:line="360" w:lineRule="auto"/>
        <w:jc w:val="left"/>
        <w:outlineLvl w:val="1"/>
        <w:rPr>
          <w:rFonts w:hint="default" w:ascii="Times New Roman" w:hAnsi="Times New Roman" w:cs="Times New Roman"/>
        </w:rPr>
      </w:pPr>
      <w:bookmarkStart w:id="43" w:name="_Toc26390"/>
      <w:r>
        <w:rPr>
          <w:rFonts w:hint="default" w:ascii="Times New Roman" w:hAnsi="Times New Roman" w:eastAsia="黑体" w:cs="Times New Roman"/>
          <w:b/>
          <w:color w:val="0F6FC6"/>
          <w:sz w:val="30"/>
          <w:u w:color="auto"/>
        </w:rPr>
        <w:t>四、毕业生就业单位性质分布</w:t>
      </w:r>
      <w:bookmarkEnd w:id="4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通过调研分析毕业生就业单位性质情况，能够清晰掌握毕业生的就业单位情况，为学校引导毕业生树立正确的择业观，提高个性化就业服务有重要作用。</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学校2023届毕业生单位流向以</w:t>
      </w:r>
      <w:r>
        <w:rPr>
          <w:rFonts w:hint="eastAsia" w:eastAsia="宋体" w:cs="Times New Roman"/>
          <w:b w:val="0"/>
          <w:color w:val="000000"/>
          <w:sz w:val="24"/>
          <w:u w:color="auto"/>
          <w:lang w:eastAsia="zh-CN"/>
        </w:rPr>
        <w:t>“</w:t>
      </w:r>
      <w:r>
        <w:rPr>
          <w:rFonts w:hint="eastAsia" w:cs="Times New Roman"/>
          <w:b w:val="0"/>
          <w:color w:val="000000"/>
          <w:sz w:val="24"/>
          <w:u w:color="auto"/>
          <w:lang w:eastAsia="zh-CN"/>
        </w:rPr>
        <w:t>其他企业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为主，占比为62.51%；</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其他</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次之，占比为25.18%。</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58335" cy="4331335"/>
            <wp:effectExtent l="0" t="0" r="18415" b="12065"/>
            <wp:docPr id="2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图3-8  2023届毕业生就业单位性质分布</w:t>
      </w:r>
      <w:r>
        <w:rPr>
          <w:rFonts w:hint="eastAsia" w:cs="Times New Roman"/>
          <w:b/>
          <w:color w:val="0F6FC6"/>
          <w:sz w:val="21"/>
          <w:u w:color="auto"/>
          <w:lang w:eastAsia="zh-CN"/>
        </w:rPr>
        <w:t>（</w:t>
      </w:r>
      <w:r>
        <w:rPr>
          <w:rFonts w:hint="eastAsia" w:cs="Times New Roman"/>
          <w:b/>
          <w:color w:val="0F6FC6"/>
          <w:sz w:val="21"/>
          <w:u w:color="auto"/>
          <w:lang w:val="en-US" w:eastAsia="zh-CN"/>
        </w:rPr>
        <w:t>前十</w:t>
      </w:r>
      <w:r>
        <w:rPr>
          <w:rFonts w:hint="eastAsia" w:cs="Times New Roman"/>
          <w:b/>
          <w:color w:val="0F6FC6"/>
          <w:sz w:val="21"/>
          <w:u w:color="auto"/>
          <w:lang w:eastAsia="zh-CN"/>
        </w:rPr>
        <w:t>）</w:t>
      </w:r>
      <w:r>
        <w:rPr>
          <w:rFonts w:hint="default" w:ascii="Times New Roman" w:hAnsi="Times New Roman" w:eastAsia="宋体" w:cs="Times New Roman"/>
          <w:b/>
          <w:color w:val="0F6FC6"/>
          <w:sz w:val="21"/>
          <w:u w:color="auto"/>
        </w:rPr>
        <w:t>（单位：%）</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的就业单位性质分布如下：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表3-1</w:t>
      </w:r>
      <w:r>
        <w:rPr>
          <w:rFonts w:hint="eastAsia" w:cs="Times New Roman"/>
          <w:b/>
          <w:color w:val="0F6FC6"/>
          <w:sz w:val="21"/>
          <w:u w:color="auto"/>
          <w:lang w:val="en-US" w:eastAsia="zh-CN"/>
        </w:rPr>
        <w:t>5</w:t>
      </w:r>
      <w:r>
        <w:rPr>
          <w:rFonts w:hint="default" w:ascii="Times New Roman" w:hAnsi="Times New Roman" w:eastAsia="宋体" w:cs="Times New Roman"/>
          <w:b/>
          <w:color w:val="0F6FC6"/>
          <w:sz w:val="21"/>
          <w:u w:color="auto"/>
        </w:rPr>
        <w:t xml:space="preserve">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毕业生就业单位性质分布</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349"/>
        <w:gridCol w:w="6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30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3694" w:type="pct"/>
            <w:shd w:val="clear" w:color="auto" w:fill="0F6FC6"/>
            <w:vAlign w:val="center"/>
          </w:tcPr>
          <w:p>
            <w:pPr>
              <w:jc w:val="center"/>
              <w:rPr>
                <w:rFonts w:hint="eastAsia" w:ascii="Times New Roman" w:hAnsi="Times New Roman" w:eastAsia="宋体" w:cs="Times New Roman"/>
                <w:lang w:eastAsia="zh-CN"/>
              </w:rPr>
            </w:pPr>
            <w:r>
              <w:rPr>
                <w:rFonts w:hint="default" w:ascii="Times New Roman" w:hAnsi="Times New Roman" w:eastAsia="宋体" w:cs="Times New Roman"/>
                <w:b/>
                <w:color w:val="FFFFFF"/>
                <w:sz w:val="22"/>
                <w:u w:color="auto"/>
              </w:rPr>
              <w:t>单位性质</w:t>
            </w:r>
            <w:r>
              <w:rPr>
                <w:rFonts w:hint="eastAsia" w:cs="Times New Roman"/>
                <w:b/>
                <w:color w:val="FFFFFF"/>
                <w:sz w:val="22"/>
                <w:u w:color="auto"/>
                <w:lang w:eastAsia="zh-CN"/>
              </w:rPr>
              <w:t>（</w:t>
            </w:r>
            <w:r>
              <w:rPr>
                <w:rFonts w:hint="eastAsia" w:cs="Times New Roman"/>
                <w:b/>
                <w:color w:val="FFFFFF"/>
                <w:sz w:val="22"/>
                <w:u w:color="auto"/>
                <w:lang w:val="en-US" w:eastAsia="zh-CN"/>
              </w:rPr>
              <w:t>前五</w:t>
            </w:r>
            <w:r>
              <w:rPr>
                <w:rFonts w:hint="eastAsia" w:cs="Times New Roman"/>
                <w:b/>
                <w:color w:val="FFFFFF"/>
                <w:sz w:val="22"/>
                <w:u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3694"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(66.41%)、其他 (19.85%)、其他事业单位 (4.58%)、中初教育单位 (3.05%)、机关 (1.53%)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3694"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(61.43%)、其他 (33.18%)、其他事业单位 (2.69%)、医疗卫生单位 (0.9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%)、中初教育单位 (0.9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3694"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(57.02%)、其他 (28.07%)、其他事业单位 (8.77%)、国有企业 (1.75%)、中初教育单位 (1.75%)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3694"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(66.67%)、其他 (22.22%)、其他事业单位 (3.7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%)、三资企业 (1.85%)、医疗卫生单位 (1.85%)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3694"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(64.13%)、国有企业 (14.35%)、三资企业 (9.42%)、其他 (7.62%)、其他事业单位 (3.59%)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3694"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(74.77%)、其他 (13.08%)、国有企业 (6.54%)、其他事业单位 (2.34%)、机关 (1.4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3694"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(75.17%)、其他 (13.1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%)、国有企业 (5.52%)、其他事业单位 (3.45%)、三资企业 (2.07%)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3694"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(78.41%)、其他 (15.34%)、三资企业 (2.27%)、国有企业 (1.7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%)、机关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3694"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(82.05%)、其他 (12.82%)、三资企业 (2.56%)、国有企业 (2.56%)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3694"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(54.55%)、其他 (28.93%)、其他事业单位 (7.44%)、三资企业 (4.96%)、国有企业 (1.65%)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3694"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(60.53%)、其他 (28.95%)、三资企业 (4.39%)、其他事业单位 (2.63%)、高等教育单位 (1.75%)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3694"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(47.37%)、其他 (42.63%)、其他事业单位 (7.37%)、国有企业 (1.58%)、中初教育单位 (1.05%)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3694"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(58.6</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 (35.48%)、其他事业单位 (2.69%)、机关 (0.54%)、三资企业 (0.54%)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3694"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(62.34%)、其他 (30.52%)、其他事业单位 (2.6</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%)、机关 (1.95%)、国有企业 (1.3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3694"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(51.15%)、其他 (33.59%)、其他事业单位 (4.58%)、中初教育单位 (3.82%)、机关 (2.29%)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3694"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(88.24%)、其他事业单位 (5.88%)、三资企业 (5.88%)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3694"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(45.45%)、其他 (39.39%)、其他事业单位 (6.06%)、中初教育单位 (4.55%)、国有企业 (3.03%)</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各专业的就业单位性质分布如下：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表3-1</w:t>
      </w:r>
      <w:r>
        <w:rPr>
          <w:rFonts w:hint="eastAsia" w:cs="Times New Roman"/>
          <w:b/>
          <w:color w:val="0F6FC6"/>
          <w:sz w:val="21"/>
          <w:u w:color="auto"/>
          <w:lang w:val="en-US" w:eastAsia="zh-CN"/>
        </w:rPr>
        <w:t>6</w:t>
      </w:r>
      <w:r>
        <w:rPr>
          <w:rFonts w:hint="default" w:ascii="Times New Roman" w:hAnsi="Times New Roman" w:eastAsia="宋体" w:cs="Times New Roman"/>
          <w:b/>
          <w:color w:val="0F6FC6"/>
          <w:sz w:val="21"/>
          <w:u w:color="auto"/>
        </w:rPr>
        <w:t xml:space="preserve">  2023届各专业毕业生就业单位性质分布</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678"/>
        <w:gridCol w:w="6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48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3511" w:type="pct"/>
            <w:shd w:val="clear" w:color="auto" w:fill="0F6FC6"/>
            <w:vAlign w:val="center"/>
          </w:tcPr>
          <w:p>
            <w:pPr>
              <w:jc w:val="center"/>
              <w:rPr>
                <w:rFonts w:hint="eastAsia" w:ascii="Times New Roman" w:hAnsi="Times New Roman" w:eastAsia="宋体" w:cs="Times New Roman"/>
                <w:lang w:eastAsia="zh-CN"/>
              </w:rPr>
            </w:pPr>
            <w:r>
              <w:rPr>
                <w:rFonts w:hint="default" w:ascii="Times New Roman" w:hAnsi="Times New Roman" w:eastAsia="宋体" w:cs="Times New Roman"/>
                <w:b/>
                <w:color w:val="FFFFFF"/>
                <w:sz w:val="22"/>
                <w:u w:color="auto"/>
              </w:rPr>
              <w:t>单位性质</w:t>
            </w:r>
            <w:r>
              <w:rPr>
                <w:rFonts w:hint="eastAsia" w:cs="Times New Roman"/>
                <w:b/>
                <w:color w:val="FFFFFF"/>
                <w:sz w:val="22"/>
                <w:u w:color="auto"/>
                <w:lang w:eastAsia="zh-CN"/>
              </w:rPr>
              <w:t>（</w:t>
            </w:r>
            <w:r>
              <w:rPr>
                <w:rFonts w:hint="eastAsia" w:cs="Times New Roman"/>
                <w:b/>
                <w:color w:val="FFFFFF"/>
                <w:sz w:val="22"/>
                <w:u w:color="auto"/>
                <w:lang w:val="en-US" w:eastAsia="zh-CN"/>
              </w:rPr>
              <w:t>前五</w:t>
            </w:r>
            <w:r>
              <w:rPr>
                <w:rFonts w:hint="eastAsia" w:cs="Times New Roman"/>
                <w:b/>
                <w:color w:val="FFFFFF"/>
                <w:sz w:val="22"/>
                <w:u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(69.57%)、其他 (18.26%)、其他事业单位 (4.35%)、中初教育单位 (2.61%)、国有企业 (1.74%)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(65.67%)、其他 (20.9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%)、其他事业单位 (5.97%)、城镇社区 (4.48%)、国有企业 (2.99%)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(52.91%)、其他 (32.28%)、其他事业单位 (9.52%)、中初教育单位 (2.12%)、机关 (1.06%)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(62.79%)、其他 (27.91%)、其他事业单位 (4.65%)、医疗卫生单位 (2.33%)、中初教育单位 (2.33%)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(68.92%)、国有企业 (9.46%)、三资企业 (8.11%)、其他 (8.11%)、其他事业单位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(70.91%)、其他 (16.36%)、其他事业单位 (3.64%)、国有企业 (3.64%)、机关 (1.82%)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(82.69%)、其他 (5.77%)、其他事业单位 (3.85%)、三资企业 (3.85%)、国有企业 (3.85%)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 (16.67%)、机关 (6.67%)、三资企业 (3.33%)、高等教育单位 (3.33%)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(82.05%)、其他 (12.82%)、三资企业 (2.56%)、国有企业 (2.56%)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(60.98%)、其他 (21.95%)、三资企业 (9.76%)、其他事业单位 (2.44%)、国有企业 (2.44%)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%)、三资企业 (18.75%)、国有企业 (16.67%)、其他事业单位 (2.08%)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(56.52%)、其他 (26.09%)、其他事业单位 (10.14%)、国有企业 (2.9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%)、中初教育单位 (2.9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(61.07%)、其他 (32.82%)、其他事业单位 (3.82%)、医疗卫生单位 (0.76%)、中初教育单位 (0.76%)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(62.07%)、其他 (17.24%)、三资企业 (13.79%)、其他事业单位 (3.45%)、科研设计单位 (3.45%)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3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 (45.68%)、</w:t>
            </w: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(43.21%)、其他事业单位 (8.64%)、国有企业 (1.23%)、中初教育单位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(62.86%)、其他 (31.43%)、其他事业单位 (2.86%)、机关 (2.86%)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(60.34%)、其他 (31.9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%)、其他事业单位 (3.45%)、机关 (1.72%)、城镇社区 (0.86%)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3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 (41.98%)、</w:t>
            </w: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(40.74%)、其他事业单位 (7.41%)、中初教育单位 (6.17%)、国有企业 (2.47%)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(58.06%)、其他 (33.87%)、其他事业单位 (3.23%)、高等教育单位 (3.23%)、中初教育单位 (1.61%)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(57.5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 (36.25%)、其他事业单位 (1.25%)、医疗卫生单位 (1.25%)、国有企业 (1.25%)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(79.17%)、其他 (16.67%)、三资企业 (2.5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%)、其他事业单位 (0.83%)、国有企业 (0.83%)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(43.75%)、其他 (31.25%)、其他事业单位 (6.25%)、机关 (6.25%)、城镇社区 (6.25%)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(76.09%)、其他 (10.87%)、国有企业 (6.52%)、其他事业单位 (2.17%)、机关 (2.17%)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(70.59%)、其他 (17.65%)、其他事业单位 (5.88%)、国有企业 (5.88%)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(76.11%)、其他 (12.39%)、国有企业 (7.96%)、其他事业单位 (1.77%)、机关 (0.88%)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(71.43%)、其他 (25.0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%)、国有企业 (3.57%)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3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其他 (76.47%)、</w:t>
            </w: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(23.53%)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(68.42%)、其他 (26.32%)、机关 (2.63%)、国有企业 (2.63%)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(73.77%)、其他 (16.39%)、国有企业 (6.56%)、其他事业单位 (1.64%)、三资企业 (1.64%)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 (25.0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%)、国有企业 (20.83%)、医疗卫生单位 (4.17%)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(84.62%)、其他 (7.69%)、国有企业 (7.69%)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(65.22%)、其他 (30.43%)、三资企业 (4.35%)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(47.14%)、其他 (35.71%)、其他事业单位 (11.43%)、三资企业 (2.86%)、中初教育单位 (1.43%)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(88.24%)、其他事业单位 (5.88%)、三资企业 (5.88%)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(61.54%)、其他 (34.07%)、其他事业单位 (1.1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%)、三资企业 (1.1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%)、医疗卫生单位 (1.1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(68.52%)、其他 (24.07%)、其他事业单位 (5.56%)、三资企业 (1.85%)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(66.67%)、其他 (25.0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%)、机关 (5.56%)、国有企业 (2.78%)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(77.78%)、国有企业 (11.11%)、三资企业 (5.56%)、其他 (5.56%)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(56.67%)、国有企业 (16.67%)、其他事业单位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%)、三资企业 (6.67%)、其他 (6.67%)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(65.63%)、其他 (18.75%)、其他事业单位 (6.25%)、国有企业 (6.25%)、机关 (3.13%)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(45.45%)、其他 (39.39%)、其他事业单位 (6.06%)、中初教育单位 (4.55%)、国有企业 (3.03%)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(65.52%)、国有企业 (17.24%)、三资企业 (10.34%)、其他 (6.9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(80.0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%)、其他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%)、国有企业 (10.0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3511" w:type="pct"/>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(81.82%)、三资企业 (9.09%)、国有企业 (9.09%)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3511" w:type="pct"/>
            <w:shd w:val="clear" w:color="auto" w:fill="C7E2FA"/>
            <w:vAlign w:val="center"/>
          </w:tcPr>
          <w:p>
            <w:pPr>
              <w:jc w:val="center"/>
              <w:rPr>
                <w:rFonts w:hint="default" w:ascii="Times New Roman" w:hAnsi="Times New Roman" w:cs="Times New Roman"/>
              </w:rPr>
            </w:pPr>
            <w:r>
              <w:rPr>
                <w:rFonts w:hint="eastAsia" w:cs="Times New Roman"/>
                <w:color w:val="000000"/>
                <w:sz w:val="22"/>
                <w:u w:color="auto"/>
                <w:lang w:eastAsia="zh-CN"/>
              </w:rPr>
              <w:t>其他企业</w:t>
            </w:r>
            <w:r>
              <w:rPr>
                <w:rFonts w:hint="default" w:ascii="Times New Roman" w:hAnsi="Times New Roman" w:eastAsia="宋体" w:cs="Times New Roman"/>
                <w:color w:val="000000"/>
                <w:sz w:val="22"/>
                <w:u w:color="auto"/>
              </w:rPr>
              <w:t xml:space="preserve"> (71.43%)、三资企业 (14.29%)、其他 (7.14%)、科研设计单位 (7.14%)</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numPr>
          <w:ilvl w:val="1"/>
          <w:numId w:val="36"/>
        </w:numPr>
        <w:shd w:val="clear" w:color="auto" w:fill="FFFFFF"/>
        <w:spacing w:before="15" w:after="15" w:line="360" w:lineRule="auto"/>
        <w:jc w:val="left"/>
        <w:outlineLvl w:val="1"/>
        <w:rPr>
          <w:rFonts w:hint="default" w:ascii="Times New Roman" w:hAnsi="Times New Roman" w:cs="Times New Roman"/>
        </w:rPr>
      </w:pPr>
      <w:bookmarkStart w:id="44" w:name="_Toc6590"/>
      <w:r>
        <w:rPr>
          <w:rFonts w:hint="default" w:ascii="Times New Roman" w:hAnsi="Times New Roman" w:eastAsia="黑体" w:cs="Times New Roman"/>
          <w:b/>
          <w:color w:val="0F6FC6"/>
          <w:sz w:val="30"/>
          <w:u w:color="auto"/>
        </w:rPr>
        <w:t>五、毕业生就业单位规模分布</w:t>
      </w:r>
      <w:bookmarkEnd w:id="4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通过调研分析毕业生就业单位性质情况，能够清晰掌握毕业生的就业单位情况，为学校引导毕业生树立正确的择业观，提高个性化就业服务有重要作用。</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仅对选择</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国有企业、民营企业/个体、三资企业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就业的毕业生调研其就业企业规模。在小微企业就业的毕业生占比为42.36%，其次在中型企业就业的毕业生占比27.67%。</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967605" cy="2827655"/>
            <wp:effectExtent l="0" t="0" r="4445" b="10795"/>
            <wp:docPr id="2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图3-9  2023届毕业生就业企业规模（单位：%）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37"/>
        </w:numPr>
        <w:shd w:val="clear" w:color="auto" w:fill="FFFFFF"/>
        <w:spacing w:before="15" w:after="15" w:line="360" w:lineRule="auto"/>
        <w:jc w:val="left"/>
        <w:outlineLvl w:val="1"/>
        <w:rPr>
          <w:rFonts w:hint="default" w:ascii="Times New Roman" w:hAnsi="Times New Roman" w:cs="Times New Roman"/>
        </w:rPr>
      </w:pPr>
      <w:bookmarkStart w:id="45" w:name="_Toc15651"/>
      <w:r>
        <w:rPr>
          <w:rFonts w:hint="default" w:ascii="Times New Roman" w:hAnsi="Times New Roman" w:eastAsia="黑体" w:cs="Times New Roman"/>
          <w:b/>
          <w:color w:val="0F6FC6"/>
          <w:sz w:val="30"/>
          <w:u w:color="auto"/>
        </w:rPr>
        <w:t>六、山西省特色分析</w:t>
      </w:r>
      <w:bookmarkEnd w:id="4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山西省特色分析是叁壹科技（山西）有限公司结合山西省内特色对毕业生进行分析，可以体现毕业生留在山西省工作的具体情况，能够较为准确地反映学校毕业生对山西省的社会贡献度。</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b w:val="0"/>
          <w:color w:val="000000"/>
          <w:sz w:val="24"/>
          <w:u w:color="auto"/>
        </w:rPr>
        <w:t>根据调研，学校2023届毕业生中服务14大战略性新兴产业的占比为6.91%；服务太忻经济一体化的占比为10.90%；服务山西转型综合改革示范区的占比为12.99%；服务</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六新</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的占比为12.73%</w:t>
      </w:r>
      <w:r>
        <w:rPr>
          <w:rFonts w:hint="default" w:ascii="Times New Roman" w:hAnsi="Times New Roman" w:eastAsia="宋体" w:cs="Times New Roman"/>
          <w:b w:val="0"/>
          <w:color w:val="000000"/>
          <w:sz w:val="24"/>
          <w:highlight w:val="none"/>
          <w:u w:color="auto"/>
        </w:rPr>
        <w:t>。</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表3-1</w:t>
      </w:r>
      <w:r>
        <w:rPr>
          <w:rFonts w:hint="eastAsia" w:cs="Times New Roman"/>
          <w:b/>
          <w:color w:val="0F6FC6"/>
          <w:sz w:val="21"/>
          <w:u w:color="auto"/>
          <w:lang w:val="en-US" w:eastAsia="zh-CN"/>
        </w:rPr>
        <w:t>7</w:t>
      </w:r>
      <w:r>
        <w:rPr>
          <w:rFonts w:hint="default" w:ascii="Times New Roman" w:hAnsi="Times New Roman" w:eastAsia="宋体" w:cs="Times New Roman"/>
          <w:b/>
          <w:color w:val="0F6FC6"/>
          <w:sz w:val="21"/>
          <w:u w:color="auto"/>
        </w:rPr>
        <w:t xml:space="preserve">  2023届毕业生在山西省特色就业分析</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山西省特色</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14大战略性新兴产业</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太忻经济一体化</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山西转型综合改革示范区</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eastAsia="宋体" w:cs="Times New Roman"/>
                <w:lang w:eastAsia="zh-CN"/>
              </w:rPr>
            </w:pPr>
            <w:r>
              <w:rPr>
                <w:rFonts w:hint="eastAsia" w:eastAsia="宋体" w:cs="Times New Roman"/>
                <w:color w:val="000000"/>
                <w:sz w:val="22"/>
                <w:u w:color="auto"/>
                <w:lang w:eastAsia="zh-CN"/>
              </w:rPr>
              <w:t>“</w:t>
            </w:r>
            <w:r>
              <w:rPr>
                <w:rFonts w:hint="default" w:ascii="Times New Roman" w:hAnsi="Times New Roman" w:eastAsia="宋体" w:cs="Times New Roman"/>
                <w:color w:val="000000"/>
                <w:sz w:val="22"/>
                <w:u w:color="auto"/>
              </w:rPr>
              <w:t>六新</w:t>
            </w:r>
            <w:r>
              <w:rPr>
                <w:rFonts w:hint="eastAsia" w:eastAsia="宋体" w:cs="Times New Roman"/>
                <w:color w:val="000000"/>
                <w:sz w:val="22"/>
                <w:u w:color="auto"/>
                <w:lang w:eastAsia="zh-CN"/>
              </w:rPr>
              <w:t>”</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12.73%</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pageBreakBefore/>
        <w:numPr>
          <w:ilvl w:val="0"/>
          <w:numId w:val="38"/>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hint="default" w:ascii="Times New Roman" w:hAnsi="Times New Roman" w:cs="Times New Roman"/>
        </w:rPr>
      </w:pPr>
      <w:bookmarkStart w:id="46" w:name="_Toc27081"/>
      <w:r>
        <w:rPr>
          <w:rFonts w:hint="default" w:ascii="Times New Roman" w:hAnsi="Times New Roman" w:eastAsia="黑体" w:cs="Times New Roman"/>
          <w:b/>
          <w:color w:val="FFFFFF"/>
          <w:sz w:val="36"/>
          <w:u w:color="auto"/>
        </w:rPr>
        <w:t>PART 04  就业创业工作举措</w:t>
      </w:r>
      <w:bookmarkEnd w:id="46"/>
    </w:p>
    <w:p>
      <w:pPr>
        <w:numPr>
          <w:ilvl w:val="0"/>
          <w:numId w:val="0"/>
        </w:numPr>
        <w:shd w:val="clear" w:color="auto" w:fill="FFFFFF"/>
        <w:spacing w:before="15" w:after="15" w:line="360" w:lineRule="auto"/>
        <w:ind w:firstLine="600" w:firstLineChars="200"/>
        <w:jc w:val="left"/>
        <w:outlineLvl w:val="1"/>
        <w:rPr>
          <w:rFonts w:hint="default" w:ascii="Times New Roman" w:hAnsi="Times New Roman" w:eastAsia="黑体" w:cs="Times New Roman"/>
          <w:b/>
          <w:color w:val="0F6FC6"/>
          <w:sz w:val="30"/>
          <w:u w:color="auto"/>
          <w:lang w:val="zh-CN"/>
        </w:rPr>
      </w:pPr>
      <w:bookmarkStart w:id="47" w:name="_Toc1153"/>
      <w:r>
        <w:rPr>
          <w:rFonts w:hint="default" w:ascii="Times New Roman" w:hAnsi="Times New Roman" w:eastAsia="黑体" w:cs="Times New Roman"/>
          <w:b/>
          <w:color w:val="0F6FC6"/>
          <w:sz w:val="30"/>
          <w:u w:color="auto"/>
        </w:rPr>
        <w:t>一</w:t>
      </w:r>
      <w:r>
        <w:rPr>
          <w:rFonts w:hint="default" w:ascii="Times New Roman" w:hAnsi="Times New Roman" w:eastAsia="黑体" w:cs="Times New Roman"/>
          <w:b/>
          <w:color w:val="0F6FC6"/>
          <w:sz w:val="30"/>
          <w:u w:color="auto"/>
          <w:lang w:val="zh-CN"/>
        </w:rPr>
        <w:t>、切实加强组织领导</w:t>
      </w:r>
      <w:bookmarkEnd w:id="4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rPr>
      </w:pPr>
      <w:r>
        <w:rPr>
          <w:rFonts w:hint="default" w:ascii="Times New Roman" w:hAnsi="Times New Roman" w:eastAsia="宋体" w:cs="Times New Roman"/>
          <w:b w:val="0"/>
          <w:color w:val="000000"/>
          <w:sz w:val="24"/>
          <w:u w:color="auto"/>
        </w:rPr>
        <w:t>（一）压实就业工作责任。持续全面落实就业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一把手</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工程，建立健全学校主要领导亲自部署、分管领导靠前指挥、院系领导落实责任、各部门协同推进、全员参与网格化管理的协调机制。坚持</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四个突出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一要突出领导带头。全体校领导及各党总支（分党委）、各单位负责人高度负责地抓紧、抓实、抓细毕业生就业教育、管理、指导、服务各项工作，党政工团齐抓共管，举全校之力推动毕业生更多、更好地就业创业。二要突出任务责任。层层人人分解任务、压实责任，扛起毕业生就业创业的政治责任、领导责任、主体责任、</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一岗双责</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实行校领导包联所联系的院系，系书记、主任包毕业年级各班，副书记、副主任、办公室主任、分团委书记（学生科长）、教学科研科科长、就业创业指导教师包具体各班、每个毕业生，辅导员、班主任包自己的班级和每个毕业生，党员都要发动起来具体包毕业生，其他老师也都要人人包毕业生，细化分解责任落实机制。除了各院系抓就业创业，其他各单位也都要明确责任、安排任务、落实要求，协同帮助和促进各院系狠抓毕业生就业创业的教育、管理、指导、服务具体工作。各院系书记、主任是本院系毕业生就业创业工作的第一责任人，副书记是主抓毕业生就业创业工作的负责人，就业专员、辅导员、班主任、就业创业指导教师是毕业生就业创业工作的直接责任人。按照教育部、省教育厅的要求，党委书记、校长和其他校领导、班子成员、各院系书记、主任、副书记、副主任、科级干部，以及其他各单位的党政负责人、副处干部、科级干部，还有所有的党员、干部、老师，都要人人头上有任务指标，联系至少1家企业帮助和服务至少1个毕业生就业创业。三要突出抓细抓实。就业工作是民生工程、民心工程、良心工程，各党总支（分党委）、各单位负责人要多方协调，积极拓展，全力推介，落实要求，确保就业创业工作都真正做到机构、人员、经费、场地四到位，积极为毕业生就业创业提供最大最好的支持，确保对每个毕业生的教育、管理、指导、服务四到位。四要突出结果导向。学校每周要通报，对排名靠后的院系、班级和责任领导、责任人在全校予以通报，从而表扬和鼓励先进、鞭策和督促后进。通报要同约谈、分析、帮助推进相结合起来，切实起到积极推动就业工作的作用。要强化就业考核，与各种评优选模、职务职称晋升、绩效核定发放等统筹起来，进行综合研判、合理挂钩，要将就业工作纳入各级领导班子考核重要内容。同时，建立健全就业风险防范化解机制，确保各项促就业工作安全稳定。</w:t>
      </w:r>
    </w:p>
    <w:p>
      <w:pPr>
        <w:numPr>
          <w:ilvl w:val="1"/>
          <w:numId w:val="37"/>
        </w:numPr>
        <w:shd w:val="clear" w:color="auto" w:fill="FFFFFF"/>
        <w:spacing w:before="15" w:after="15" w:line="360" w:lineRule="auto"/>
        <w:jc w:val="left"/>
        <w:outlineLvl w:val="1"/>
        <w:rPr>
          <w:rFonts w:hint="default" w:ascii="Times New Roman" w:hAnsi="Times New Roman" w:eastAsia="黑体" w:cs="Times New Roman"/>
          <w:b/>
          <w:color w:val="0F6FC6"/>
          <w:sz w:val="30"/>
          <w:u w:color="auto"/>
          <w:lang w:val="zh-CN"/>
        </w:rPr>
      </w:pPr>
      <w:bookmarkStart w:id="48" w:name="_Toc25295"/>
      <w:r>
        <w:rPr>
          <w:rFonts w:hint="default" w:ascii="Times New Roman" w:hAnsi="Times New Roman" w:eastAsia="黑体" w:cs="Times New Roman"/>
          <w:b/>
          <w:color w:val="0F6FC6"/>
          <w:sz w:val="30"/>
          <w:u w:color="auto"/>
        </w:rPr>
        <w:t>二</w:t>
      </w:r>
      <w:r>
        <w:rPr>
          <w:rFonts w:hint="default" w:ascii="Times New Roman" w:hAnsi="Times New Roman" w:eastAsia="黑体" w:cs="Times New Roman"/>
          <w:b/>
          <w:color w:val="0F6FC6"/>
          <w:sz w:val="30"/>
          <w:u w:color="auto"/>
          <w:lang w:val="zh-CN"/>
        </w:rPr>
        <w:t>、加大市场化社会化就业渠道开拓力度</w:t>
      </w:r>
      <w:bookmarkEnd w:id="4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rPr>
      </w:pPr>
      <w:r>
        <w:rPr>
          <w:rFonts w:hint="default" w:ascii="Times New Roman" w:hAnsi="Times New Roman" w:eastAsia="宋体" w:cs="Times New Roman"/>
          <w:b w:val="0"/>
          <w:color w:val="000000"/>
          <w:sz w:val="24"/>
          <w:u w:color="auto"/>
        </w:rPr>
        <w:t>（二）深入开展市场化岗位开拓行动。各院系要持续深入贯彻</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书记、校长访企拓岗</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专项行动方案，进一步将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走出去，请进来</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访企拓岗活动引向深入，不断优化工作方式，访企拓岗由书记校长向院系延伸，形成校领导带学院，院系领导带老师层层递进的责任制就业工作模式，实现入企深度走访对接，深化多领域校企合作，以就业达成数量、质量等对走访效果进行考评。</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lang w:val="zh-CN"/>
        </w:rPr>
      </w:pPr>
      <w:r>
        <w:rPr>
          <w:rFonts w:hint="default" w:ascii="Times New Roman" w:hAnsi="Times New Roman" w:eastAsia="宋体" w:cs="Times New Roman"/>
          <w:b w:val="0"/>
          <w:color w:val="000000"/>
          <w:sz w:val="24"/>
          <w:u w:color="auto"/>
          <w:lang w:val="zh-CN"/>
        </w:rPr>
        <w:t>（</w:t>
      </w:r>
      <w:r>
        <w:rPr>
          <w:rFonts w:hint="default" w:ascii="Times New Roman" w:hAnsi="Times New Roman" w:eastAsia="宋体" w:cs="Times New Roman"/>
          <w:b w:val="0"/>
          <w:color w:val="000000"/>
          <w:sz w:val="24"/>
          <w:u w:color="auto"/>
        </w:rPr>
        <w:t>三</w:t>
      </w:r>
      <w:r>
        <w:rPr>
          <w:rFonts w:hint="default" w:ascii="Times New Roman" w:hAnsi="Times New Roman" w:eastAsia="宋体" w:cs="Times New Roman"/>
          <w:b w:val="0"/>
          <w:color w:val="000000"/>
          <w:sz w:val="24"/>
          <w:u w:color="auto"/>
          <w:lang w:val="zh-CN"/>
        </w:rPr>
        <w:t>）积极实施</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万企进校园计划</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。各</w:t>
      </w:r>
      <w:r>
        <w:rPr>
          <w:rFonts w:hint="default" w:ascii="Times New Roman" w:hAnsi="Times New Roman" w:eastAsia="宋体" w:cs="Times New Roman"/>
          <w:b w:val="0"/>
          <w:color w:val="000000"/>
          <w:sz w:val="24"/>
          <w:u w:color="auto"/>
        </w:rPr>
        <w:t>院系</w:t>
      </w:r>
      <w:r>
        <w:rPr>
          <w:rFonts w:hint="default" w:ascii="Times New Roman" w:hAnsi="Times New Roman" w:eastAsia="宋体" w:cs="Times New Roman"/>
          <w:b w:val="0"/>
          <w:color w:val="000000"/>
          <w:sz w:val="24"/>
          <w:u w:color="auto"/>
          <w:lang w:val="zh-CN"/>
        </w:rPr>
        <w:t>要在符合新冠疫情防控要求的前提下，抢抓毕业生求职的关键时期，充分发挥校园招聘主渠道作用，精心组织</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校园招聘月</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就业促进周</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等岗位开拓和供需对接系列活动，积极开展系列网络招聘会，创造条件主动邀请用人单位进校招聘，有序组织</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小而精、专而优</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的校园专场招聘会，形成线上、线下合力促就业的新模式。</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lang w:val="zh-CN"/>
        </w:rPr>
      </w:pPr>
      <w:r>
        <w:rPr>
          <w:rFonts w:hint="default" w:ascii="Times New Roman" w:hAnsi="Times New Roman" w:eastAsia="宋体" w:cs="Times New Roman"/>
          <w:b w:val="0"/>
          <w:color w:val="000000"/>
          <w:sz w:val="24"/>
          <w:u w:color="auto"/>
          <w:lang w:val="zh-CN"/>
        </w:rPr>
        <w:t>（</w:t>
      </w:r>
      <w:r>
        <w:rPr>
          <w:rFonts w:hint="default" w:ascii="Times New Roman" w:hAnsi="Times New Roman" w:eastAsia="宋体" w:cs="Times New Roman"/>
          <w:b w:val="0"/>
          <w:color w:val="000000"/>
          <w:sz w:val="24"/>
          <w:u w:color="auto"/>
        </w:rPr>
        <w:t>四</w:t>
      </w:r>
      <w:r>
        <w:rPr>
          <w:rFonts w:hint="default" w:ascii="Times New Roman" w:hAnsi="Times New Roman" w:eastAsia="宋体" w:cs="Times New Roman"/>
          <w:b w:val="0"/>
          <w:color w:val="000000"/>
          <w:sz w:val="24"/>
          <w:u w:color="auto"/>
          <w:lang w:val="zh-CN"/>
        </w:rPr>
        <w:t>）全面推广使用国家大学生就业服务平台。各</w:t>
      </w:r>
      <w:r>
        <w:rPr>
          <w:rFonts w:hint="default" w:ascii="Times New Roman" w:hAnsi="Times New Roman" w:eastAsia="宋体" w:cs="Times New Roman"/>
          <w:b w:val="0"/>
          <w:color w:val="000000"/>
          <w:sz w:val="24"/>
          <w:u w:color="auto"/>
        </w:rPr>
        <w:t>院系</w:t>
      </w:r>
      <w:r>
        <w:rPr>
          <w:rFonts w:hint="default" w:ascii="Times New Roman" w:hAnsi="Times New Roman" w:eastAsia="宋体" w:cs="Times New Roman"/>
          <w:b w:val="0"/>
          <w:color w:val="000000"/>
          <w:sz w:val="24"/>
          <w:u w:color="auto"/>
          <w:lang w:val="zh-CN"/>
        </w:rPr>
        <w:t>要</w:t>
      </w:r>
      <w:r>
        <w:rPr>
          <w:rFonts w:hint="default" w:ascii="Times New Roman" w:hAnsi="Times New Roman" w:eastAsia="宋体" w:cs="Times New Roman"/>
          <w:b w:val="0"/>
          <w:color w:val="000000"/>
          <w:sz w:val="24"/>
          <w:u w:color="auto"/>
        </w:rPr>
        <w:t>鼓励毕业生积极参加</w:t>
      </w:r>
      <w:r>
        <w:rPr>
          <w:rFonts w:hint="default" w:ascii="Times New Roman" w:hAnsi="Times New Roman" w:eastAsia="宋体" w:cs="Times New Roman"/>
          <w:b w:val="0"/>
          <w:color w:val="000000"/>
          <w:sz w:val="24"/>
          <w:u w:color="auto"/>
          <w:lang w:val="zh-CN"/>
        </w:rPr>
        <w:t>教育部24365平台的</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互联网+</w:t>
      </w:r>
      <w:r>
        <w:rPr>
          <w:rFonts w:hint="default" w:ascii="Times New Roman" w:hAnsi="Times New Roman" w:eastAsia="宋体" w:cs="Times New Roman"/>
          <w:b w:val="0"/>
          <w:color w:val="000000"/>
          <w:sz w:val="24"/>
          <w:u w:color="auto"/>
        </w:rPr>
        <w:t>招聘专场</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rPr>
        <w:t>相关就业招聘活动。</w:t>
      </w:r>
      <w:r>
        <w:rPr>
          <w:rFonts w:hint="default" w:ascii="Times New Roman" w:hAnsi="Times New Roman" w:eastAsia="宋体" w:cs="Times New Roman"/>
          <w:b w:val="0"/>
          <w:color w:val="000000"/>
          <w:sz w:val="24"/>
          <w:u w:color="auto"/>
          <w:lang w:val="zh-CN"/>
        </w:rPr>
        <w:t>要指导2023届毕业生、毕业班辅导员及时注册</w:t>
      </w:r>
      <w:r>
        <w:rPr>
          <w:rFonts w:hint="default" w:ascii="Times New Roman" w:hAnsi="Times New Roman" w:eastAsia="宋体" w:cs="Times New Roman"/>
          <w:b w:val="0"/>
          <w:color w:val="000000"/>
          <w:sz w:val="24"/>
          <w:u w:color="auto"/>
        </w:rPr>
        <w:t>关联</w:t>
      </w:r>
      <w:r>
        <w:rPr>
          <w:rFonts w:hint="default" w:ascii="Times New Roman" w:hAnsi="Times New Roman" w:eastAsia="宋体" w:cs="Times New Roman"/>
          <w:b w:val="0"/>
          <w:color w:val="000000"/>
          <w:sz w:val="24"/>
          <w:u w:color="auto"/>
          <w:lang w:val="zh-CN"/>
        </w:rPr>
        <w:t>使用平台，确保毕业生都能及时获得就业信息。</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lang w:val="zh-CN"/>
        </w:rPr>
      </w:pPr>
      <w:r>
        <w:rPr>
          <w:rFonts w:hint="default" w:ascii="Times New Roman" w:hAnsi="Times New Roman" w:eastAsia="宋体" w:cs="Times New Roman"/>
          <w:b w:val="0"/>
          <w:color w:val="000000"/>
          <w:sz w:val="24"/>
          <w:u w:color="auto"/>
          <w:lang w:val="zh-CN"/>
        </w:rPr>
        <w:t>（</w:t>
      </w:r>
      <w:r>
        <w:rPr>
          <w:rFonts w:hint="default" w:ascii="Times New Roman" w:hAnsi="Times New Roman" w:eastAsia="宋体" w:cs="Times New Roman"/>
          <w:b w:val="0"/>
          <w:color w:val="000000"/>
          <w:sz w:val="24"/>
          <w:u w:color="auto"/>
        </w:rPr>
        <w:t>五</w:t>
      </w:r>
      <w:r>
        <w:rPr>
          <w:rFonts w:hint="default" w:ascii="Times New Roman" w:hAnsi="Times New Roman" w:eastAsia="宋体" w:cs="Times New Roman"/>
          <w:b w:val="0"/>
          <w:color w:val="000000"/>
          <w:sz w:val="24"/>
          <w:u w:color="auto"/>
          <w:lang w:val="zh-CN"/>
        </w:rPr>
        <w:t>）充分发挥中小企业吸纳就业作用。各</w:t>
      </w:r>
      <w:r>
        <w:rPr>
          <w:rFonts w:hint="default" w:ascii="Times New Roman" w:hAnsi="Times New Roman" w:eastAsia="宋体" w:cs="Times New Roman"/>
          <w:b w:val="0"/>
          <w:color w:val="000000"/>
          <w:sz w:val="24"/>
          <w:u w:color="auto"/>
        </w:rPr>
        <w:t>院系</w:t>
      </w:r>
      <w:r>
        <w:rPr>
          <w:rFonts w:hint="default" w:ascii="Times New Roman" w:hAnsi="Times New Roman" w:eastAsia="宋体" w:cs="Times New Roman"/>
          <w:b w:val="0"/>
          <w:color w:val="000000"/>
          <w:sz w:val="24"/>
          <w:u w:color="auto"/>
          <w:lang w:val="zh-CN"/>
        </w:rPr>
        <w:t>要加强和中小企业的供需对接，为中小企业进校招聘提供便利。要积极组织参与</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中小企业人才供需对接大会</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中小企业网上百日招聘高校毕业生</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全国民营企业招聘月</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等系列活动，向毕业生精准推送相关岗位信息，积极搭建中小企业招聘平台，引导更多毕业生到中小企业就业。</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lang w:val="zh-CN"/>
        </w:rPr>
      </w:pPr>
      <w:r>
        <w:rPr>
          <w:rFonts w:hint="default" w:ascii="Times New Roman" w:hAnsi="Times New Roman" w:eastAsia="宋体" w:cs="Times New Roman"/>
          <w:b w:val="0"/>
          <w:color w:val="000000"/>
          <w:sz w:val="24"/>
          <w:u w:color="auto"/>
          <w:lang w:val="zh-CN"/>
        </w:rPr>
        <w:t>（</w:t>
      </w:r>
      <w:r>
        <w:rPr>
          <w:rFonts w:hint="default" w:ascii="Times New Roman" w:hAnsi="Times New Roman" w:eastAsia="宋体" w:cs="Times New Roman"/>
          <w:b w:val="0"/>
          <w:color w:val="000000"/>
          <w:sz w:val="24"/>
          <w:u w:color="auto"/>
        </w:rPr>
        <w:t>六</w:t>
      </w:r>
      <w:r>
        <w:rPr>
          <w:rFonts w:hint="default" w:ascii="Times New Roman" w:hAnsi="Times New Roman" w:eastAsia="宋体" w:cs="Times New Roman"/>
          <w:b w:val="0"/>
          <w:color w:val="000000"/>
          <w:sz w:val="24"/>
          <w:u w:color="auto"/>
          <w:lang w:val="zh-CN"/>
        </w:rPr>
        <w:t>）支持自主创业和灵活就业。各</w:t>
      </w:r>
      <w:r>
        <w:rPr>
          <w:rFonts w:hint="default" w:ascii="Times New Roman" w:hAnsi="Times New Roman" w:eastAsia="宋体" w:cs="Times New Roman"/>
          <w:b w:val="0"/>
          <w:color w:val="000000"/>
          <w:sz w:val="24"/>
          <w:u w:color="auto"/>
        </w:rPr>
        <w:t>院系</w:t>
      </w:r>
      <w:r>
        <w:rPr>
          <w:rFonts w:hint="default" w:ascii="Times New Roman" w:hAnsi="Times New Roman" w:eastAsia="宋体" w:cs="Times New Roman"/>
          <w:b w:val="0"/>
          <w:color w:val="000000"/>
          <w:sz w:val="24"/>
          <w:u w:color="auto"/>
          <w:lang w:val="zh-CN"/>
        </w:rPr>
        <w:t>要积极鼓励和支持毕业生自主创业，在资金、场地等方面向毕业生创业者倾斜，为毕业生创新创业孵化、成果化等提供服务。推动中国国际</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互联网+</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大学生创新创业大赛等创业项目转化落地。要宣传落实好灵活就业社会保障政策、财政金融支持政策，为毕业生从事新形态就业提供必要的支持，推动灵活就业规范化发展，切实维护毕业生合法权益。</w:t>
      </w:r>
    </w:p>
    <w:p>
      <w:pPr>
        <w:rPr>
          <w:rFonts w:hint="default" w:ascii="Times New Roman" w:hAnsi="Times New Roman" w:eastAsia="黑体" w:cs="Times New Roman"/>
          <w:b/>
          <w:color w:val="0F6FC6"/>
          <w:sz w:val="30"/>
          <w:u w:color="auto"/>
          <w:lang w:val="zh-CN"/>
        </w:rPr>
      </w:pPr>
      <w:bookmarkStart w:id="49" w:name="_Toc19257"/>
      <w:r>
        <w:rPr>
          <w:rFonts w:hint="default" w:ascii="Times New Roman" w:hAnsi="Times New Roman" w:eastAsia="黑体" w:cs="Times New Roman"/>
          <w:b/>
          <w:color w:val="0F6FC6"/>
          <w:sz w:val="30"/>
          <w:u w:color="auto"/>
        </w:rPr>
        <w:br w:type="page"/>
      </w:r>
    </w:p>
    <w:p>
      <w:pPr>
        <w:numPr>
          <w:ilvl w:val="1"/>
          <w:numId w:val="37"/>
        </w:numPr>
        <w:shd w:val="clear" w:color="auto" w:fill="FFFFFF"/>
        <w:spacing w:before="15" w:after="15" w:line="360" w:lineRule="auto"/>
        <w:jc w:val="left"/>
        <w:outlineLvl w:val="1"/>
        <w:rPr>
          <w:rFonts w:hint="default" w:ascii="Times New Roman" w:hAnsi="Times New Roman" w:eastAsia="黑体" w:cs="Times New Roman"/>
          <w:b/>
          <w:color w:val="0F6FC6"/>
          <w:sz w:val="30"/>
          <w:u w:color="auto"/>
          <w:lang w:val="zh-CN"/>
        </w:rPr>
      </w:pPr>
      <w:r>
        <w:rPr>
          <w:rFonts w:hint="default" w:ascii="Times New Roman" w:hAnsi="Times New Roman" w:eastAsia="黑体" w:cs="Times New Roman"/>
          <w:b/>
          <w:color w:val="0F6FC6"/>
          <w:sz w:val="30"/>
          <w:u w:color="auto"/>
        </w:rPr>
        <w:t>三</w:t>
      </w:r>
      <w:r>
        <w:rPr>
          <w:rFonts w:hint="default" w:ascii="Times New Roman" w:hAnsi="Times New Roman" w:eastAsia="黑体" w:cs="Times New Roman"/>
          <w:b/>
          <w:color w:val="0F6FC6"/>
          <w:sz w:val="30"/>
          <w:u w:color="auto"/>
          <w:lang w:val="zh-CN"/>
        </w:rPr>
        <w:t>、用足用好各类政策性岗位</w:t>
      </w:r>
      <w:bookmarkEnd w:id="4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lang w:val="zh-CN"/>
        </w:rPr>
      </w:pPr>
      <w:r>
        <w:rPr>
          <w:rFonts w:hint="default" w:ascii="Times New Roman" w:hAnsi="Times New Roman" w:eastAsia="宋体" w:cs="Times New Roman"/>
          <w:b w:val="0"/>
          <w:color w:val="000000"/>
          <w:sz w:val="24"/>
          <w:u w:color="auto"/>
          <w:lang w:val="zh-CN"/>
        </w:rPr>
        <w:t>（</w:t>
      </w:r>
      <w:r>
        <w:rPr>
          <w:rFonts w:hint="default" w:ascii="Times New Roman" w:hAnsi="Times New Roman" w:eastAsia="宋体" w:cs="Times New Roman"/>
          <w:b w:val="0"/>
          <w:color w:val="000000"/>
          <w:sz w:val="24"/>
          <w:u w:color="auto"/>
        </w:rPr>
        <w:t>七）各院系积极组织毕业生参加</w:t>
      </w:r>
      <w:r>
        <w:rPr>
          <w:rFonts w:hint="default" w:ascii="Times New Roman" w:hAnsi="Times New Roman" w:eastAsia="宋体" w:cs="Times New Roman"/>
          <w:b w:val="0"/>
          <w:color w:val="000000"/>
          <w:sz w:val="24"/>
          <w:u w:color="auto"/>
          <w:lang w:val="zh-CN"/>
        </w:rPr>
        <w:t>公务员和事业单位、国企等政策性岗位招考及各类职业资格考试，</w:t>
      </w:r>
      <w:r>
        <w:rPr>
          <w:rFonts w:hint="default" w:ascii="Times New Roman" w:hAnsi="Times New Roman" w:eastAsia="宋体" w:cs="Times New Roman"/>
          <w:b w:val="0"/>
          <w:color w:val="000000"/>
          <w:sz w:val="24"/>
          <w:u w:color="auto"/>
        </w:rPr>
        <w:t>鼓励毕业生参加</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特岗计划</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三支一扶</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西部计划</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等基层就业项目，继续做好2023届毕业生科研助理和行政助理招录工作，同时</w:t>
      </w:r>
      <w:r>
        <w:rPr>
          <w:rFonts w:hint="default" w:ascii="Times New Roman" w:hAnsi="Times New Roman" w:eastAsia="宋体" w:cs="Times New Roman"/>
          <w:b w:val="0"/>
          <w:color w:val="000000"/>
          <w:sz w:val="24"/>
          <w:u w:color="auto"/>
          <w:lang w:val="zh-CN"/>
        </w:rPr>
        <w:t>积极做好兵员预征预储、毕业生征集等工作，</w:t>
      </w:r>
      <w:r>
        <w:rPr>
          <w:rFonts w:hint="default" w:ascii="Times New Roman" w:hAnsi="Times New Roman" w:eastAsia="宋体" w:cs="Times New Roman"/>
          <w:b w:val="0"/>
          <w:color w:val="000000"/>
          <w:sz w:val="24"/>
          <w:u w:color="auto"/>
        </w:rPr>
        <w:t>用足用好国家利好政策。</w:t>
      </w:r>
    </w:p>
    <w:p>
      <w:pPr>
        <w:numPr>
          <w:ilvl w:val="1"/>
          <w:numId w:val="37"/>
        </w:numPr>
        <w:shd w:val="clear" w:color="auto" w:fill="FFFFFF"/>
        <w:spacing w:before="15" w:after="15" w:line="360" w:lineRule="auto"/>
        <w:jc w:val="left"/>
        <w:outlineLvl w:val="1"/>
        <w:rPr>
          <w:rFonts w:hint="default" w:ascii="Times New Roman" w:hAnsi="Times New Roman" w:eastAsia="黑体" w:cs="Times New Roman"/>
          <w:b/>
          <w:color w:val="0F6FC6"/>
          <w:sz w:val="30"/>
          <w:u w:color="auto"/>
          <w:lang w:val="zh-CN"/>
        </w:rPr>
      </w:pPr>
      <w:bookmarkStart w:id="50" w:name="_Toc7149"/>
      <w:r>
        <w:rPr>
          <w:rFonts w:hint="default" w:ascii="Times New Roman" w:hAnsi="Times New Roman" w:eastAsia="黑体" w:cs="Times New Roman"/>
          <w:b/>
          <w:color w:val="0F6FC6"/>
          <w:sz w:val="30"/>
          <w:u w:color="auto"/>
        </w:rPr>
        <w:t>四</w:t>
      </w:r>
      <w:r>
        <w:rPr>
          <w:rFonts w:hint="default" w:ascii="Times New Roman" w:hAnsi="Times New Roman" w:eastAsia="黑体" w:cs="Times New Roman"/>
          <w:b/>
          <w:color w:val="0F6FC6"/>
          <w:sz w:val="30"/>
          <w:u w:color="auto"/>
          <w:lang w:val="zh-CN"/>
        </w:rPr>
        <w:t>、健全高质量就业指导服务体系</w:t>
      </w:r>
      <w:bookmarkEnd w:id="5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rPr>
      </w:pPr>
      <w:r>
        <w:rPr>
          <w:rFonts w:hint="default" w:ascii="Times New Roman" w:hAnsi="Times New Roman" w:eastAsia="宋体" w:cs="Times New Roman"/>
          <w:b w:val="0"/>
          <w:color w:val="000000"/>
          <w:sz w:val="24"/>
          <w:u w:color="auto"/>
        </w:rPr>
        <w:t>（八）扎实组织开展毕业生就业工作专项教育。加强《大学生职业生涯规划与就业指导》课程建设，由网课模式改为线上、线下相结合的教学模式，提升教学效果。要充分利用校际、校企、校地等就业信息服务平台和</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互联网+就业指导</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，用好教育部</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24365大学生就业服务平台</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实现每个院系、每个班、每个辅导员班主任、每个毕业生全覆盖，及时准确掌握毕业生求职意愿和用人单位岗位需求，多种形式组织好宣讲、招聘、推介活动。利用就业指导管理部微信公众号和就业信息网加强就业政策学习和研究，鼓励、引导毕业生用好党和政府相继出台的就业利好政策。把就业教育、就业指导全面纳入大学生思想政治教育体系，多种形式开展就业育人主题教育系列活动，引导毕业生树立正确的职业观、就业观和择业观。</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rPr>
      </w:pPr>
      <w:r>
        <w:rPr>
          <w:rFonts w:hint="default" w:ascii="Times New Roman" w:hAnsi="Times New Roman" w:eastAsia="宋体" w:cs="Times New Roman"/>
          <w:b w:val="0"/>
          <w:color w:val="000000"/>
          <w:sz w:val="24"/>
          <w:u w:color="auto"/>
        </w:rPr>
        <w:t>（九）推进教育改革，强化毕业生就业创业教育工作。学生的就业创业教育，要在学校和院系的教学安排中都予以增强，在学校和院系的团学工作中都大力加强，各级各单位都要积极和大力支持与协同配合抓好就业创业教育工作。要认真、扎实地开设好就业创业指导课，抓实抓细抓好职业规划教育、思想政治教育，把正确的择业观、就业观、创业观教育贯穿学生培养全过程，宣传好就业创业先进典型，教育引导毕业生转变就业观念。学校、院系两个层面都要组织开展</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就业创业教育月</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活动，邀请优秀毕业生回校介绍就业创业的好经验，也要请在政府、企业等负责的优秀毕业生，宣传介绍和积极接纳我们的毕业生就业和扶持我们的毕业生创业。学工部、团委和各院系都要积极协同开展好这方面活动。要按省教育厅要求，做好学科专业优化建设工作，把就业创业工作情况作为各种评估、检查、考核、奖惩和调整的重要标尺，包括作为巡察和其他各种监督的重点，校纪委和纪检监察机构以及巡察办要加强监督。校党委、行政要研究积极稳妥采取有效措施，激励和表彰先进，鞭策和督促后进，对连续两年就业创业率低的专业和院系，要像省里的做法一样亮黄牌，连续三年的亮红牌，严肃认真约谈处理和进行整改。同时，深入开展就业育人主题教育活动，引导毕业生保持平实之心，客观看待个人条件和社会需求，从实际出发选择职业和工作岗位，提升就业指导服务水平，找准就业风险点，防范就业歧视、就业焦虑、慢就业等现象。</w:t>
      </w:r>
    </w:p>
    <w:p>
      <w:pPr>
        <w:numPr>
          <w:ilvl w:val="1"/>
          <w:numId w:val="37"/>
        </w:numPr>
        <w:shd w:val="clear" w:color="auto" w:fill="FFFFFF"/>
        <w:spacing w:before="15" w:after="15" w:line="360" w:lineRule="auto"/>
        <w:jc w:val="left"/>
        <w:outlineLvl w:val="1"/>
        <w:rPr>
          <w:rFonts w:hint="default" w:ascii="Times New Roman" w:hAnsi="Times New Roman" w:eastAsia="黑体" w:cs="Times New Roman"/>
          <w:b/>
          <w:color w:val="0F6FC6"/>
          <w:sz w:val="30"/>
          <w:u w:color="auto"/>
          <w:lang w:val="zh-CN"/>
        </w:rPr>
      </w:pPr>
      <w:bookmarkStart w:id="51" w:name="_Toc4135"/>
      <w:r>
        <w:rPr>
          <w:rFonts w:hint="default" w:ascii="Times New Roman" w:hAnsi="Times New Roman" w:eastAsia="黑体" w:cs="Times New Roman"/>
          <w:b/>
          <w:color w:val="0F6FC6"/>
          <w:sz w:val="30"/>
          <w:u w:color="auto"/>
        </w:rPr>
        <w:t>五</w:t>
      </w:r>
      <w:r>
        <w:rPr>
          <w:rFonts w:hint="default" w:ascii="Times New Roman" w:hAnsi="Times New Roman" w:eastAsia="黑体" w:cs="Times New Roman"/>
          <w:b/>
          <w:color w:val="0F6FC6"/>
          <w:sz w:val="30"/>
          <w:u w:color="auto"/>
          <w:lang w:val="zh-CN"/>
        </w:rPr>
        <w:t>、持续开展重点群体就业帮扶</w:t>
      </w:r>
      <w:bookmarkEnd w:id="5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lang w:val="zh-CN"/>
        </w:rPr>
      </w:pPr>
      <w:r>
        <w:rPr>
          <w:rFonts w:hint="default" w:ascii="Times New Roman" w:hAnsi="Times New Roman" w:eastAsia="宋体" w:cs="Times New Roman"/>
          <w:b w:val="0"/>
          <w:color w:val="000000"/>
          <w:sz w:val="24"/>
          <w:u w:color="auto"/>
          <w:lang w:val="zh-CN"/>
        </w:rPr>
        <w:t>（十）完善就业帮扶机制。</w:t>
      </w:r>
      <w:r>
        <w:rPr>
          <w:rFonts w:hint="default" w:ascii="Times New Roman" w:hAnsi="Times New Roman" w:eastAsia="宋体" w:cs="Times New Roman"/>
          <w:b w:val="0"/>
          <w:color w:val="000000"/>
          <w:sz w:val="24"/>
          <w:u w:color="auto"/>
        </w:rPr>
        <w:t>各院系</w:t>
      </w:r>
      <w:r>
        <w:rPr>
          <w:rFonts w:hint="default" w:ascii="Times New Roman" w:hAnsi="Times New Roman" w:eastAsia="宋体" w:cs="Times New Roman"/>
          <w:b w:val="0"/>
          <w:color w:val="000000"/>
          <w:sz w:val="24"/>
          <w:u w:color="auto"/>
          <w:lang w:val="zh-CN"/>
        </w:rPr>
        <w:t>要进一步健全困难毕业生</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一对一</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帮扶机制，重点关注脱贫家庭、低保家庭、 零就业家庭、残疾等困难毕业生，建立帮扶工作台账，按照</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一人一档</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一人一策</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精准开展就业帮扶工作。健全</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一对一</w:t>
      </w:r>
      <w:r>
        <w:rPr>
          <w:rFonts w:hint="eastAsia" w:eastAsia="宋体" w:cs="Times New Roman"/>
          <w:b w:val="0"/>
          <w:color w:val="000000"/>
          <w:sz w:val="24"/>
          <w:u w:color="auto"/>
          <w:lang w:val="zh-CN"/>
        </w:rPr>
        <w:t>”</w:t>
      </w:r>
      <w:r>
        <w:rPr>
          <w:rFonts w:hint="default" w:ascii="Times New Roman" w:hAnsi="Times New Roman" w:eastAsia="宋体" w:cs="Times New Roman"/>
          <w:b w:val="0"/>
          <w:color w:val="000000"/>
          <w:sz w:val="24"/>
          <w:u w:color="auto"/>
          <w:lang w:val="zh-CN"/>
        </w:rPr>
        <w:t>帮扶责任制，要求院系领导班子成员、学生科长（就业专员）、班主任、专任教师、辅导员等要与困难学生开展结对帮扶，要在就业能力上着力，确保就业帮扶见实效。持续做好离校未就业毕业生不断线服务。</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rPr>
      </w:pPr>
      <w:r>
        <w:rPr>
          <w:rFonts w:hint="default" w:ascii="Times New Roman" w:hAnsi="Times New Roman" w:eastAsia="宋体" w:cs="Times New Roman"/>
          <w:b w:val="0"/>
          <w:color w:val="000000"/>
          <w:sz w:val="24"/>
          <w:u w:color="auto"/>
        </w:rPr>
        <w:t>（十一）深入实施宏志助航计划。根据山西省教育厅《关于做好2022年宏志助航计划有关工作的通知》（晋教学函〔2023〕38号）文件要求，持续组织2023届毕业生积极参加</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中央专项彩票公益金宏志助航计划——全国高校毕业生就业能力培训项目</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，在前期已组织211名2023届毕业生参加培训的基础上，持续开展线上线下就业能力培训，提升毕业生就业竞争力。</w:t>
      </w:r>
    </w:p>
    <w:p>
      <w:pPr>
        <w:numPr>
          <w:ilvl w:val="1"/>
          <w:numId w:val="37"/>
        </w:numPr>
        <w:shd w:val="clear" w:color="auto" w:fill="FFFFFF"/>
        <w:spacing w:before="15" w:after="15" w:line="360" w:lineRule="auto"/>
        <w:jc w:val="left"/>
        <w:outlineLvl w:val="1"/>
        <w:rPr>
          <w:rFonts w:hint="default" w:ascii="Times New Roman" w:hAnsi="Times New Roman" w:eastAsia="黑体" w:cs="Times New Roman"/>
          <w:b/>
          <w:color w:val="0F6FC6"/>
          <w:sz w:val="30"/>
          <w:u w:color="auto"/>
          <w:lang w:val="zh-CN"/>
        </w:rPr>
      </w:pPr>
      <w:bookmarkStart w:id="52" w:name="_Toc13287"/>
      <w:r>
        <w:rPr>
          <w:rFonts w:hint="default" w:ascii="Times New Roman" w:hAnsi="Times New Roman" w:eastAsia="黑体" w:cs="Times New Roman"/>
          <w:b/>
          <w:color w:val="0F6FC6"/>
          <w:sz w:val="30"/>
          <w:u w:color="auto"/>
        </w:rPr>
        <w:t>六</w:t>
      </w:r>
      <w:r>
        <w:rPr>
          <w:rFonts w:hint="default" w:ascii="Times New Roman" w:hAnsi="Times New Roman" w:eastAsia="黑体" w:cs="Times New Roman"/>
          <w:b/>
          <w:color w:val="0F6FC6"/>
          <w:sz w:val="30"/>
          <w:u w:color="auto"/>
          <w:lang w:val="zh-CN"/>
        </w:rPr>
        <w:t>、简化优化求职就业手续</w:t>
      </w:r>
      <w:bookmarkEnd w:id="5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lang w:val="zh-CN"/>
        </w:rPr>
      </w:pPr>
      <w:r>
        <w:rPr>
          <w:rFonts w:hint="default" w:ascii="Times New Roman" w:hAnsi="Times New Roman" w:eastAsia="宋体" w:cs="Times New Roman"/>
          <w:b w:val="0"/>
          <w:color w:val="000000"/>
          <w:sz w:val="24"/>
          <w:u w:color="auto"/>
          <w:lang w:val="zh-CN"/>
        </w:rPr>
        <w:t>（</w:t>
      </w:r>
      <w:r>
        <w:rPr>
          <w:rFonts w:hint="default" w:ascii="Times New Roman" w:hAnsi="Times New Roman" w:eastAsia="宋体" w:cs="Times New Roman"/>
          <w:b w:val="0"/>
          <w:color w:val="000000"/>
          <w:sz w:val="24"/>
          <w:u w:color="auto"/>
        </w:rPr>
        <w:t>十二</w:t>
      </w:r>
      <w:r>
        <w:rPr>
          <w:rFonts w:hint="default" w:ascii="Times New Roman" w:hAnsi="Times New Roman" w:eastAsia="宋体" w:cs="Times New Roman"/>
          <w:b w:val="0"/>
          <w:color w:val="000000"/>
          <w:sz w:val="24"/>
          <w:u w:color="auto"/>
          <w:lang w:val="zh-CN"/>
        </w:rPr>
        <w:t>）稳妥有序推进取消就业报到证。根据《国务院办公厅关于进一步做好高校毕业生等青年就业创业工作的通知》（国办发〔2022〕13号）要求，从2023年起，不再发放《全国普通高等学校本专科毕业生就业报到证》和《全国毕业研究生就业报到证》（以下统称就业报到证），取消就业报到证补办、改派手续，不再将就业报到证作为办理高校毕业生招聘录用、落户、档案接收转递等手续的必需材料。</w:t>
      </w:r>
      <w:r>
        <w:rPr>
          <w:rFonts w:hint="default" w:ascii="Times New Roman" w:hAnsi="Times New Roman" w:eastAsia="宋体" w:cs="Times New Roman"/>
          <w:b w:val="0"/>
          <w:color w:val="000000"/>
          <w:sz w:val="24"/>
          <w:u w:color="auto"/>
        </w:rPr>
        <w:t>各院系</w:t>
      </w:r>
      <w:r>
        <w:rPr>
          <w:rFonts w:hint="default" w:ascii="Times New Roman" w:hAnsi="Times New Roman" w:eastAsia="宋体" w:cs="Times New Roman"/>
          <w:b w:val="0"/>
          <w:color w:val="000000"/>
          <w:sz w:val="24"/>
          <w:u w:color="auto"/>
          <w:lang w:val="zh-CN"/>
        </w:rPr>
        <w:t>要向用人单位和毕业生开展取消就业报到证解读宣传，耐心、细致做好指导咨询，帮助毕业生顺利完成就业报到、落户和档案转递。</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rPr>
      </w:pPr>
      <w:r>
        <w:rPr>
          <w:rFonts w:hint="default" w:ascii="Times New Roman" w:hAnsi="Times New Roman" w:eastAsia="宋体" w:cs="Times New Roman"/>
          <w:b w:val="0"/>
          <w:color w:val="000000"/>
          <w:sz w:val="24"/>
          <w:u w:color="auto"/>
        </w:rPr>
        <w:t>（十三）建立毕业去向登记制度。根据国务院办公厅有关文件要求，从2023年起，教育部门建立高校毕业生毕业去向登记制度，作为高校为毕业生办理离校手续的必要环节。各院系积极推广使用全国高校毕业生毕业去向登记系统，认真指导毕业生按规定及时完成毕业去向登记。</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rPr>
      </w:pPr>
      <w:r>
        <w:rPr>
          <w:rFonts w:hint="default" w:ascii="Times New Roman" w:hAnsi="Times New Roman" w:eastAsia="宋体" w:cs="Times New Roman"/>
          <w:b w:val="0"/>
          <w:color w:val="000000"/>
          <w:sz w:val="24"/>
          <w:u w:color="auto"/>
        </w:rPr>
        <w:t>（十四）加强就业统计规范管理。各院系严格落实就业统计工作</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四不准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三严禁</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三不得</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要求，继续采取就业数据统计九级核查机制，严格审核学生就业信息及相关佐证材料，确保数据准确无误。</w:t>
      </w:r>
    </w:p>
    <w:p>
      <w:pPr>
        <w:numPr>
          <w:ilvl w:val="1"/>
          <w:numId w:val="37"/>
        </w:numPr>
        <w:shd w:val="clear" w:color="auto" w:fill="FFFFFF"/>
        <w:spacing w:before="15" w:after="15" w:line="360" w:lineRule="auto"/>
        <w:jc w:val="left"/>
        <w:outlineLvl w:val="1"/>
        <w:rPr>
          <w:rFonts w:hint="default" w:ascii="Times New Roman" w:hAnsi="Times New Roman" w:eastAsia="黑体" w:cs="Times New Roman"/>
          <w:b/>
          <w:color w:val="0F6FC6"/>
          <w:sz w:val="30"/>
          <w:u w:color="auto"/>
          <w:lang w:val="zh-CN"/>
        </w:rPr>
      </w:pPr>
      <w:bookmarkStart w:id="53" w:name="_Toc27919"/>
      <w:r>
        <w:rPr>
          <w:rFonts w:hint="default" w:ascii="Times New Roman" w:hAnsi="Times New Roman" w:eastAsia="黑体" w:cs="Times New Roman"/>
          <w:b/>
          <w:color w:val="0F6FC6"/>
          <w:sz w:val="30"/>
          <w:u w:color="auto"/>
        </w:rPr>
        <w:t>七</w:t>
      </w:r>
      <w:r>
        <w:rPr>
          <w:rFonts w:hint="default" w:ascii="Times New Roman" w:hAnsi="Times New Roman" w:eastAsia="黑体" w:cs="Times New Roman"/>
          <w:b/>
          <w:color w:val="0F6FC6"/>
          <w:sz w:val="30"/>
          <w:u w:color="auto"/>
          <w:lang w:val="zh-CN"/>
        </w:rPr>
        <w:t>、完善招生与就业联动机制</w:t>
      </w:r>
      <w:bookmarkEnd w:id="5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rPr>
      </w:pPr>
      <w:r>
        <w:rPr>
          <w:rFonts w:hint="default" w:ascii="Times New Roman" w:hAnsi="Times New Roman" w:eastAsia="宋体" w:cs="Times New Roman"/>
          <w:b w:val="0"/>
          <w:color w:val="000000"/>
          <w:sz w:val="24"/>
          <w:u w:color="auto"/>
        </w:rPr>
        <w:t>（十五）健全完善就业反馈机制。继续建立完善就业与招生、培养联动的有效机制，利用第三方评价机构（</w:t>
      </w:r>
      <w:r>
        <w:rPr>
          <w:rFonts w:hint="eastAsia" w:cs="Times New Roman"/>
          <w:b w:val="0"/>
          <w:color w:val="000000"/>
          <w:sz w:val="24"/>
          <w:u w:color="auto"/>
          <w:lang w:val="en-US" w:eastAsia="zh-CN"/>
        </w:rPr>
        <w:t>叁壹科技（山西）</w:t>
      </w:r>
      <w:r>
        <w:rPr>
          <w:rFonts w:hint="default" w:ascii="Times New Roman" w:hAnsi="Times New Roman" w:eastAsia="宋体" w:cs="Times New Roman"/>
          <w:b w:val="0"/>
          <w:color w:val="000000"/>
          <w:sz w:val="24"/>
          <w:u w:color="auto"/>
        </w:rPr>
        <w:t>有限公司）对我校毕业生就业质量和培养质量进行评估，并形成报告。把毕业生就业状况作为学科专业调整和审核评估、招生计划安排等工作的重要依据。将毕业生就业状况跟踪调查结果作为衡量我校人才培养质量的重要参考。</w:t>
      </w:r>
    </w:p>
    <w:p>
      <w:pPr>
        <w:numPr>
          <w:ilvl w:val="1"/>
          <w:numId w:val="37"/>
        </w:numPr>
        <w:shd w:val="clear" w:color="auto" w:fill="FFFFFF"/>
        <w:spacing w:before="15" w:after="15" w:line="360" w:lineRule="auto"/>
        <w:jc w:val="left"/>
        <w:outlineLvl w:val="1"/>
        <w:rPr>
          <w:rFonts w:hint="default" w:ascii="Times New Roman" w:hAnsi="Times New Roman" w:eastAsia="黑体" w:cs="Times New Roman"/>
          <w:b/>
          <w:color w:val="0F6FC6"/>
          <w:sz w:val="30"/>
          <w:u w:color="auto"/>
        </w:rPr>
      </w:pPr>
      <w:bookmarkStart w:id="54" w:name="_Toc9041"/>
      <w:r>
        <w:rPr>
          <w:rFonts w:hint="default" w:ascii="Times New Roman" w:hAnsi="Times New Roman" w:eastAsia="黑体" w:cs="Times New Roman"/>
          <w:b/>
          <w:color w:val="0F6FC6"/>
          <w:sz w:val="30"/>
          <w:u w:color="auto"/>
        </w:rPr>
        <w:t>八、强化监督检查，落实毕业生就业创业各项工作任务</w:t>
      </w:r>
      <w:bookmarkEnd w:id="5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b w:val="0"/>
          <w:color w:val="000000"/>
          <w:sz w:val="24"/>
          <w:u w:color="auto"/>
        </w:rPr>
      </w:pPr>
      <w:r>
        <w:rPr>
          <w:rFonts w:hint="default" w:ascii="Times New Roman" w:hAnsi="Times New Roman" w:eastAsia="宋体" w:cs="Times New Roman"/>
          <w:b w:val="0"/>
          <w:color w:val="000000"/>
          <w:sz w:val="24"/>
          <w:u w:color="auto"/>
        </w:rPr>
        <w:t>（十六）校党委、行政、纪委以及分管校领导和就业指导管理部都要加强对落实毕业生就业工作主体责任、</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一岗双责</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监督检查，主动上手，敢于较真，紧盯不放，强力推进，该检查的检查，该约谈的约谈，该通报的通报，该帮扶的帮扶，该指导的指导，该支持的支持。校纪委、纪检监察机构、巡察办要加强监督检查，监督推动部署要求、职责任务落实。坚持就业签约</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四不准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工作要求，引导毕业生及用人单位诚信签约。</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四不准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是底线红线，决不能违反。</w:t>
      </w:r>
    </w:p>
    <w:p>
      <w:pPr>
        <w:rPr>
          <w:rFonts w:hint="default" w:ascii="Times New Roman" w:hAnsi="Times New Roman" w:cs="Times New Roman"/>
        </w:rPr>
      </w:pPr>
    </w:p>
    <w:p>
      <w:pPr>
        <w:pageBreakBefore/>
        <w:numPr>
          <w:ilvl w:val="0"/>
          <w:numId w:val="39"/>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hint="default" w:ascii="Times New Roman" w:hAnsi="Times New Roman" w:cs="Times New Roman"/>
        </w:rPr>
      </w:pPr>
      <w:bookmarkStart w:id="55" w:name="_Toc11913"/>
      <w:r>
        <w:rPr>
          <w:rFonts w:hint="default" w:ascii="Times New Roman" w:hAnsi="Times New Roman" w:eastAsia="黑体" w:cs="Times New Roman"/>
          <w:b/>
          <w:color w:val="FFFFFF"/>
          <w:sz w:val="36"/>
          <w:u w:color="auto"/>
        </w:rPr>
        <w:t>PART 05  就业相关分析</w:t>
      </w:r>
      <w:bookmarkEnd w:id="55"/>
    </w:p>
    <w:p>
      <w:pPr>
        <w:rPr>
          <w:rFonts w:hint="default" w:ascii="Times New Roman" w:hAnsi="Times New Roman" w:cs="Times New Roman"/>
        </w:rPr>
      </w:pPr>
      <w:r>
        <w:rPr>
          <w:rFonts w:hint="default" w:ascii="Times New Roman" w:hAnsi="Times New Roman" w:cs="Times New Roman"/>
        </w:rPr>
        <w:t>
</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高校毕业生就业质量是人才培养质量的核心内容，以学生为评估主体，构建多维指标体系，可以全面了解和掌握毕业生岗位适配性、就业质量及职业发展情况，为学校改进和完善教育教学和人才培养工作提供参考。其中，毕业生对自身就业质量评价指标包括就业机会充分情况、目前工作与所学专业的对口情况、对目前工作的满意度、对目前工作岗位的适应度、对目前工作的胜任度、目前工作与自身职业期待的吻合情况、工作稳定性情况、社会保障情况、求职过程分析。</w:t>
      </w:r>
    </w:p>
    <w:p>
      <w:pPr>
        <w:numPr>
          <w:ilvl w:val="1"/>
          <w:numId w:val="40"/>
        </w:numPr>
        <w:shd w:val="clear" w:color="auto" w:fill="FFFFFF"/>
        <w:spacing w:before="15" w:after="15" w:line="360" w:lineRule="auto"/>
        <w:jc w:val="left"/>
        <w:outlineLvl w:val="1"/>
        <w:rPr>
          <w:rFonts w:hint="default" w:ascii="Times New Roman" w:hAnsi="Times New Roman" w:cs="Times New Roman"/>
        </w:rPr>
      </w:pPr>
      <w:bookmarkStart w:id="56" w:name="_Toc18773"/>
      <w:r>
        <w:rPr>
          <w:rFonts w:hint="default" w:ascii="Times New Roman" w:hAnsi="Times New Roman" w:eastAsia="黑体" w:cs="Times New Roman"/>
          <w:b/>
          <w:color w:val="0F6FC6"/>
          <w:sz w:val="30"/>
          <w:u w:color="auto"/>
        </w:rPr>
        <w:t>一、就业机会</w:t>
      </w:r>
      <w:bookmarkEnd w:id="56"/>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就业机会充分度是从学生的主观角度来评判就业机会。毕业生在就业前都经历了求职过程，在此过程中，毕业生对本专业就业机会的多少有较为直观的感受，所以就业充分度更能体现本专业的市场需求情况。</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78.95%的毕业生认为所学专业的就业机会较多，其中认为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非常多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的占比为17.94%，认为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比较多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的占比为22.49%。</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558030" cy="2661920"/>
            <wp:effectExtent l="0" t="0" r="13970" b="5080"/>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图5-1  2023届毕业生就业机会</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的就业机会调研结果如下：</w:t>
      </w:r>
    </w:p>
    <w:p>
      <w:pPr>
        <w:keepNext w:val="0"/>
        <w:keepLines w:val="0"/>
        <w:widowControl/>
        <w:suppressLineNumbers w:val="0"/>
        <w:jc w:val="center"/>
        <w:textAlignment w:val="center"/>
        <w:rPr>
          <w:rStyle w:val="20"/>
          <w:rFonts w:hint="default" w:ascii="宋体" w:hAnsi="宋体" w:eastAsia="宋体" w:cs="宋体"/>
          <w:i w:val="0"/>
          <w:iCs w:val="0"/>
          <w:color w:val="000000"/>
          <w:lang w:val="en-US" w:eastAsia="zh-CN" w:bidi="ar"/>
        </w:rPr>
      </w:pPr>
      <w:r>
        <w:rPr>
          <w:rFonts w:hint="default" w:ascii="Times New Roman" w:hAnsi="Times New Roman" w:eastAsia="宋体" w:cs="Times New Roman"/>
          <w:b/>
          <w:color w:val="0F6FC6"/>
          <w:sz w:val="21"/>
          <w:u w:color="auto"/>
        </w:rPr>
        <w:t>表5-1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毕业生就业机会分布</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377"/>
        <w:gridCol w:w="2205"/>
        <w:gridCol w:w="2205"/>
        <w:gridCol w:w="2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321" w:type="pct"/>
            <w:shd w:val="clear" w:color="auto" w:fill="0F6FC6"/>
            <w:vAlign w:val="center"/>
          </w:tcPr>
          <w:p>
            <w:pPr>
              <w:keepNext w:val="0"/>
              <w:keepLines w:val="0"/>
              <w:widowControl/>
              <w:suppressLineNumbers w:val="0"/>
              <w:jc w:val="center"/>
              <w:textAlignment w:val="center"/>
              <w:rPr>
                <w:rStyle w:val="20"/>
                <w:rFonts w:hint="default" w:ascii="Times New Roman" w:hAnsi="Times New Roman" w:eastAsia="宋体" w:cs="Times New Roman"/>
                <w:b/>
                <w:bCs/>
                <w:i w:val="0"/>
                <w:iCs w:val="0"/>
                <w:color w:val="FFFFFF" w:themeColor="background1"/>
                <w:lang w:val="en-US" w:eastAsia="zh-CN" w:bidi="ar"/>
                <w14:textFill>
                  <w14:solidFill>
                    <w14:schemeClr w14:val="bg1"/>
                  </w14:solidFill>
                </w14:textFill>
              </w:rPr>
            </w:pPr>
            <w:r>
              <w:rPr>
                <w:rStyle w:val="20"/>
                <w:rFonts w:hint="default" w:ascii="Times New Roman" w:hAnsi="Times New Roman" w:eastAsia="宋体" w:cs="Times New Roman"/>
                <w:b/>
                <w:bCs/>
                <w:i w:val="0"/>
                <w:iCs w:val="0"/>
                <w:color w:val="FFFFFF" w:themeColor="background1"/>
                <w:lang w:val="en-US" w:eastAsia="zh-CN" w:bidi="ar"/>
                <w14:textFill>
                  <w14:solidFill>
                    <w14:schemeClr w14:val="bg1"/>
                  </w14:solidFill>
                </w14:textFill>
              </w:rPr>
              <w:t>系</w:t>
            </w:r>
          </w:p>
        </w:tc>
        <w:tc>
          <w:tcPr>
            <w:tcW w:w="1225" w:type="pct"/>
            <w:shd w:val="clear" w:color="auto" w:fill="0F6FC6"/>
            <w:vAlign w:val="center"/>
          </w:tcPr>
          <w:p>
            <w:pPr>
              <w:keepNext w:val="0"/>
              <w:keepLines w:val="0"/>
              <w:widowControl/>
              <w:suppressLineNumbers w:val="0"/>
              <w:jc w:val="center"/>
              <w:textAlignment w:val="center"/>
              <w:rPr>
                <w:rStyle w:val="20"/>
                <w:rFonts w:hint="default" w:ascii="Times New Roman" w:hAnsi="Times New Roman" w:eastAsia="宋体" w:cs="Times New Roman"/>
                <w:b/>
                <w:bCs/>
                <w:i w:val="0"/>
                <w:iCs w:val="0"/>
                <w:color w:val="FFFFFF" w:themeColor="background1"/>
                <w:lang w:val="en-US" w:eastAsia="zh-CN" w:bidi="ar"/>
                <w14:textFill>
                  <w14:solidFill>
                    <w14:schemeClr w14:val="bg1"/>
                  </w14:solidFill>
                </w14:textFill>
              </w:rPr>
            </w:pPr>
            <w:r>
              <w:rPr>
                <w:rStyle w:val="20"/>
                <w:rFonts w:hint="default" w:ascii="Times New Roman" w:hAnsi="Times New Roman" w:eastAsia="宋体" w:cs="Times New Roman"/>
                <w:b/>
                <w:bCs/>
                <w:i w:val="0"/>
                <w:iCs w:val="0"/>
                <w:color w:val="FFFFFF" w:themeColor="background1"/>
                <w:lang w:val="en-US" w:eastAsia="zh-CN" w:bidi="ar"/>
                <w14:textFill>
                  <w14:solidFill>
                    <w14:schemeClr w14:val="bg1"/>
                  </w14:solidFill>
                </w14:textFill>
              </w:rPr>
              <w:t>较多</w:t>
            </w:r>
          </w:p>
        </w:tc>
        <w:tc>
          <w:tcPr>
            <w:tcW w:w="1225" w:type="pct"/>
            <w:shd w:val="clear" w:color="auto" w:fill="0F6FC6"/>
            <w:vAlign w:val="center"/>
          </w:tcPr>
          <w:p>
            <w:pPr>
              <w:keepNext w:val="0"/>
              <w:keepLines w:val="0"/>
              <w:widowControl/>
              <w:suppressLineNumbers w:val="0"/>
              <w:jc w:val="center"/>
              <w:textAlignment w:val="center"/>
              <w:rPr>
                <w:rStyle w:val="20"/>
                <w:rFonts w:hint="default" w:ascii="Times New Roman" w:hAnsi="Times New Roman" w:eastAsia="宋体" w:cs="Times New Roman"/>
                <w:b/>
                <w:bCs/>
                <w:i w:val="0"/>
                <w:iCs w:val="0"/>
                <w:color w:val="FFFFFF" w:themeColor="background1"/>
                <w:lang w:val="en-US" w:eastAsia="zh-CN" w:bidi="ar"/>
                <w14:textFill>
                  <w14:solidFill>
                    <w14:schemeClr w14:val="bg1"/>
                  </w14:solidFill>
                </w14:textFill>
              </w:rPr>
            </w:pPr>
            <w:r>
              <w:rPr>
                <w:rStyle w:val="20"/>
                <w:rFonts w:hint="default" w:ascii="Times New Roman" w:hAnsi="Times New Roman" w:eastAsia="宋体" w:cs="Times New Roman"/>
                <w:b/>
                <w:bCs/>
                <w:i w:val="0"/>
                <w:iCs w:val="0"/>
                <w:color w:val="FFFFFF" w:themeColor="background1"/>
                <w:lang w:val="en-US" w:eastAsia="zh-CN" w:bidi="ar"/>
                <w14:textFill>
                  <w14:solidFill>
                    <w14:schemeClr w14:val="bg1"/>
                  </w14:solidFill>
                </w14:textFill>
              </w:rPr>
              <w:t>一般</w:t>
            </w:r>
          </w:p>
        </w:tc>
        <w:tc>
          <w:tcPr>
            <w:tcW w:w="1228" w:type="pct"/>
            <w:shd w:val="clear" w:color="auto" w:fill="0F6FC6"/>
            <w:vAlign w:val="center"/>
          </w:tcPr>
          <w:p>
            <w:pPr>
              <w:keepNext w:val="0"/>
              <w:keepLines w:val="0"/>
              <w:widowControl/>
              <w:suppressLineNumbers w:val="0"/>
              <w:jc w:val="center"/>
              <w:textAlignment w:val="center"/>
              <w:rPr>
                <w:rStyle w:val="20"/>
                <w:rFonts w:hint="default" w:ascii="Times New Roman" w:hAnsi="Times New Roman" w:eastAsia="宋体" w:cs="Times New Roman"/>
                <w:b/>
                <w:bCs/>
                <w:i w:val="0"/>
                <w:iCs w:val="0"/>
                <w:color w:val="FFFFFF" w:themeColor="background1"/>
                <w:lang w:val="en-US" w:eastAsia="zh-CN" w:bidi="ar"/>
                <w14:textFill>
                  <w14:solidFill>
                    <w14:schemeClr w14:val="bg1"/>
                  </w14:solidFill>
                </w14:textFill>
              </w:rPr>
            </w:pPr>
            <w:r>
              <w:rPr>
                <w:rStyle w:val="20"/>
                <w:rFonts w:hint="default" w:ascii="Times New Roman" w:hAnsi="Times New Roman" w:eastAsia="宋体" w:cs="Times New Roman"/>
                <w:b/>
                <w:bCs/>
                <w:i w:val="0"/>
                <w:iCs w:val="0"/>
                <w:color w:val="FFFFFF" w:themeColor="background1"/>
                <w:lang w:val="en-US" w:eastAsia="zh-CN" w:bidi="ar"/>
                <w14:textFill>
                  <w14:solidFill>
                    <w14:schemeClr w14:val="bg1"/>
                  </w14:solidFill>
                </w14:textFill>
              </w:rPr>
              <w:t>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生物科学与技术系</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55.10%</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38.78%</w:t>
            </w:r>
          </w:p>
        </w:tc>
        <w:tc>
          <w:tcPr>
            <w:tcW w:w="1228"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机械系</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56.38%</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32.51%</w:t>
            </w:r>
          </w:p>
        </w:tc>
        <w:tc>
          <w:tcPr>
            <w:tcW w:w="1228"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教育科学与技术系</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53.02%</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34.90%</w:t>
            </w:r>
          </w:p>
        </w:tc>
        <w:tc>
          <w:tcPr>
            <w:tcW w:w="1228"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12.08%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体育系</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32.69%</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51.92%</w:t>
            </w:r>
          </w:p>
        </w:tc>
        <w:tc>
          <w:tcPr>
            <w:tcW w:w="1228"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15.39%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中文系</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48.00%</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36.00%</w:t>
            </w:r>
          </w:p>
        </w:tc>
        <w:tc>
          <w:tcPr>
            <w:tcW w:w="1228"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马克思主义学院(筹)</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35.59%</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47.46%</w:t>
            </w:r>
          </w:p>
        </w:tc>
        <w:tc>
          <w:tcPr>
            <w:tcW w:w="1228"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16.94%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经济管理系</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33.73%</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48.52%</w:t>
            </w:r>
          </w:p>
        </w:tc>
        <w:tc>
          <w:tcPr>
            <w:tcW w:w="1228"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17.76%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化学化工系</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35.05%</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40.21%</w:t>
            </w:r>
          </w:p>
        </w:tc>
        <w:tc>
          <w:tcPr>
            <w:tcW w:w="1228"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24.74%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美术系</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34.97%</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38.46%</w:t>
            </w:r>
          </w:p>
        </w:tc>
        <w:tc>
          <w:tcPr>
            <w:tcW w:w="1228"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26.58%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材料科学与工程系</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26.32%</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42.11%</w:t>
            </w:r>
          </w:p>
        </w:tc>
        <w:tc>
          <w:tcPr>
            <w:tcW w:w="1228"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音乐系</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28.20%</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40.17%</w:t>
            </w:r>
          </w:p>
        </w:tc>
        <w:tc>
          <w:tcPr>
            <w:tcW w:w="1228"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信息技术与工程系</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37.62%</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30.69%</w:t>
            </w:r>
          </w:p>
        </w:tc>
        <w:tc>
          <w:tcPr>
            <w:tcW w:w="1228"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数学系</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32.04%</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35.92%</w:t>
            </w:r>
          </w:p>
        </w:tc>
        <w:tc>
          <w:tcPr>
            <w:tcW w:w="1228"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旅游管理系</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26.08%</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40.58%</w:t>
            </w:r>
          </w:p>
        </w:tc>
        <w:tc>
          <w:tcPr>
            <w:tcW w:w="1228"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外语系</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19.70%</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45.45%</w:t>
            </w:r>
          </w:p>
        </w:tc>
        <w:tc>
          <w:tcPr>
            <w:tcW w:w="1228"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文化产业系</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36.36%</w:t>
            </w:r>
          </w:p>
        </w:tc>
        <w:tc>
          <w:tcPr>
            <w:tcW w:w="1225"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27.27%</w:t>
            </w:r>
          </w:p>
        </w:tc>
        <w:tc>
          <w:tcPr>
            <w:tcW w:w="1228" w:type="pct"/>
            <w:shd w:val="clear" w:color="auto" w:fill="C7E2FA"/>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21"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物理与电子工程系</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31.58%</w:t>
            </w:r>
          </w:p>
        </w:tc>
        <w:tc>
          <w:tcPr>
            <w:tcW w:w="1225"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31.58%</w:t>
            </w:r>
          </w:p>
        </w:tc>
        <w:tc>
          <w:tcPr>
            <w:tcW w:w="1228" w:type="pct"/>
            <w:vAlign w:val="center"/>
          </w:tcPr>
          <w:p>
            <w:pPr>
              <w:keepNext w:val="0"/>
              <w:keepLines w:val="0"/>
              <w:widowControl/>
              <w:suppressLineNumbers w:val="0"/>
              <w:jc w:val="center"/>
              <w:textAlignment w:val="center"/>
              <w:rPr>
                <w:rStyle w:val="20"/>
                <w:rFonts w:hint="default" w:ascii="Times New Roman" w:hAnsi="Times New Roman" w:eastAsia="宋体" w:cs="Times New Roman"/>
                <w:i w:val="0"/>
                <w:iCs w:val="0"/>
                <w:color w:val="000000"/>
                <w:lang w:val="en-US" w:eastAsia="zh-CN" w:bidi="ar"/>
              </w:rPr>
            </w:pPr>
            <w:r>
              <w:rPr>
                <w:rStyle w:val="20"/>
                <w:rFonts w:hint="default" w:ascii="Times New Roman" w:hAnsi="Times New Roman" w:eastAsia="宋体" w:cs="Times New Roman"/>
                <w:i w:val="0"/>
                <w:iCs w:val="0"/>
                <w:color w:val="000000"/>
                <w:lang w:val="en-US" w:eastAsia="zh-CN" w:bidi="ar"/>
              </w:rPr>
              <w:t>36.84%</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各专业的就业机会调研结果如下：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表5-2  2023届各专业毕业生就业机会分布</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847"/>
        <w:gridCol w:w="2050"/>
        <w:gridCol w:w="2050"/>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582" w:type="pct"/>
            <w:shd w:val="clear" w:color="auto" w:fill="0F6FC6"/>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b/>
                <w:bCs/>
                <w:i w:val="0"/>
                <w:iCs w:val="0"/>
                <w:color w:val="FFFFFF"/>
                <w:kern w:val="0"/>
                <w:sz w:val="22"/>
                <w:szCs w:val="22"/>
                <w:u w:val="none"/>
                <w:lang w:val="en-US" w:eastAsia="zh-CN" w:bidi="ar"/>
              </w:rPr>
              <w:t>专业</w:t>
            </w:r>
          </w:p>
        </w:tc>
        <w:tc>
          <w:tcPr>
            <w:tcW w:w="1139" w:type="pct"/>
            <w:shd w:val="clear" w:color="auto" w:fill="0F6FC6"/>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b/>
                <w:bCs/>
                <w:i w:val="0"/>
                <w:iCs w:val="0"/>
                <w:color w:val="FFFFFF"/>
                <w:kern w:val="0"/>
                <w:sz w:val="22"/>
                <w:szCs w:val="22"/>
                <w:u w:val="none"/>
                <w:lang w:val="en-US" w:eastAsia="zh-CN" w:bidi="ar"/>
              </w:rPr>
              <w:t>较多</w:t>
            </w:r>
          </w:p>
        </w:tc>
        <w:tc>
          <w:tcPr>
            <w:tcW w:w="1139" w:type="pct"/>
            <w:shd w:val="clear" w:color="auto" w:fill="0F6FC6"/>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b/>
                <w:bCs/>
                <w:i w:val="0"/>
                <w:iCs w:val="0"/>
                <w:color w:val="FFFFFF"/>
                <w:kern w:val="0"/>
                <w:sz w:val="22"/>
                <w:szCs w:val="22"/>
                <w:u w:val="none"/>
                <w:lang w:val="en-US" w:eastAsia="zh-CN" w:bidi="ar"/>
              </w:rPr>
              <w:t>一般</w:t>
            </w:r>
          </w:p>
        </w:tc>
        <w:tc>
          <w:tcPr>
            <w:tcW w:w="1139" w:type="pct"/>
            <w:shd w:val="clear" w:color="auto" w:fill="0F6FC6"/>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b/>
                <w:bCs/>
                <w:i w:val="0"/>
                <w:iCs w:val="0"/>
                <w:color w:val="FFFFFF" w:themeColor="background1"/>
                <w:kern w:val="0"/>
                <w:sz w:val="22"/>
                <w:szCs w:val="22"/>
                <w:u w:val="none"/>
                <w:lang w:val="en-US" w:eastAsia="zh-CN" w:bidi="ar"/>
                <w14:textFill>
                  <w14:solidFill>
                    <w14:schemeClr w14:val="bg1"/>
                  </w14:solidFill>
                </w14:textFill>
              </w:rPr>
              <w:t>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生物科学</w:t>
            </w:r>
          </w:p>
        </w:tc>
        <w:tc>
          <w:tcPr>
            <w:tcW w:w="1139"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57.15%</w:t>
            </w:r>
          </w:p>
        </w:tc>
        <w:tc>
          <w:tcPr>
            <w:tcW w:w="1139"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42.86%</w:t>
            </w:r>
          </w:p>
        </w:tc>
        <w:tc>
          <w:tcPr>
            <w:tcW w:w="1139"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机械电子工程</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55.55%</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38.89%</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轨道交通信号与控制</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64.15%</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30.19%</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汉语言文学</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56.08%</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36.45%</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机械设计制造及其自动化</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59.73%</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31.94%</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学前教育</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54.62%</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36.15%</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食品科学与工程</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57.90%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31.58%</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生物技术</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51.35%</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37.84%</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自动化</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66.66%</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22.22%</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汽车服务工程</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48.57%</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环境科学与工程</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62.50%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体育教育</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30.96%</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54.76%</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应用化学</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34.21%</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财务管理</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36.11%</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47.22%</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思想政治教育</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35.59%</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47.46%</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人力资源管理</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35.14%</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45.95%</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视觉传达设计</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43.63%</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36.36%</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武术与民族传统体育</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经济学</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20.83%</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58.33%</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新闻学</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38.46%</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38.46%</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网络与新媒体</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舞蹈学</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38.30%</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36.17%</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数据科学与大数据技术</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18.18%</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54.55%</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环境设计</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36.00%</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36.00%</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会展经济与管理</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9.52%</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61.90%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汉语国际教育</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34.21%</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36.84%</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书法学</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35.30%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35.29%</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网络工程</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31.82%</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38.64%</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数学与应用数学</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36.48%</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33.78%</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机械工艺技术</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31.03%</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37.93%</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小学教育</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42.10%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26.32%</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复合材料与工程</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26.32%</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42.11%</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计算机科学与技术</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46.34%</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21.95%</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英语</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19.52%</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48.78%</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美术学</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23.92%</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43.48%</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化学</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25.49%</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41.18%</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旅游管理</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33.33%</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33.33%</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电子科学与技术</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34.78%</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30.43%</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音乐学</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20.29%</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43.48%</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文化产业管理</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36.36%</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27.27%</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酒店管理</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33.33%</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30.30%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物联网工程</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31.25%</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31.25%</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翻译</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20.00%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物理学</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26.67%</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33.33%</w:t>
            </w:r>
          </w:p>
        </w:tc>
        <w:tc>
          <w:tcPr>
            <w:tcW w:w="113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82"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宋体" w:hAnsi="宋体" w:eastAsia="宋体" w:cs="宋体"/>
                <w:i w:val="0"/>
                <w:iCs w:val="0"/>
                <w:color w:val="000000"/>
                <w:kern w:val="0"/>
                <w:sz w:val="22"/>
                <w:szCs w:val="22"/>
                <w:u w:val="none"/>
                <w:lang w:val="en-US" w:eastAsia="zh-CN" w:bidi="ar"/>
              </w:rPr>
              <w:t>信息与计算科学</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22.22%</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33.33%</w:t>
            </w:r>
          </w:p>
        </w:tc>
        <w:tc>
          <w:tcPr>
            <w:tcW w:w="11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44.44%</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41"/>
        </w:numPr>
        <w:shd w:val="clear" w:color="auto" w:fill="FFFFFF"/>
        <w:spacing w:before="15" w:after="15" w:line="360" w:lineRule="auto"/>
        <w:jc w:val="left"/>
        <w:outlineLvl w:val="1"/>
        <w:rPr>
          <w:rFonts w:hint="default" w:ascii="Times New Roman" w:hAnsi="Times New Roman" w:cs="Times New Roman"/>
        </w:rPr>
      </w:pPr>
      <w:bookmarkStart w:id="57" w:name="_Toc12359"/>
      <w:r>
        <w:rPr>
          <w:rFonts w:hint="default" w:ascii="Times New Roman" w:hAnsi="Times New Roman" w:eastAsia="黑体" w:cs="Times New Roman"/>
          <w:b/>
          <w:color w:val="0F6FC6"/>
          <w:sz w:val="30"/>
          <w:u w:color="auto"/>
        </w:rPr>
        <w:t>二、专业相关度</w:t>
      </w:r>
      <w:bookmarkEnd w:id="5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毕业生就业岗位与所学专业具有一定的相关性。一方面可以保证高校人才培养符合社会经济发展要求，不会造成专业人才培养的浪费；另一方面也有利于毕业生个人职业的发展。调查了解毕业生目前工作岗位与所学专业的相关情况，其评价维度包括很不相关、比较不相关、基本相关、比较相关、很相关；专业相关度为选择</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很相关</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比较相关</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和</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基本相关</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的人数占</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此题总人数</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的比例，另外针对毕业生的反馈分别赋予1-5分（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很不相关</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很相关</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=5分），计算其均值。具体内容如下所示。</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72.38%的毕业生认为目前就职岗位与所学专业相关，专业相关度较高；可见毕业生所学专业知识及技能与实际工作的契合度较高，能够学以致用。</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544695" cy="2292985"/>
            <wp:effectExtent l="0" t="0" r="8255" b="12065"/>
            <wp:docPr id="2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图5-2  2023届毕业生专业相关度</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的专业相关度分布如下：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表5-3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毕业生专业相关度分布</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160"/>
        <w:gridCol w:w="1023"/>
        <w:gridCol w:w="1023"/>
        <w:gridCol w:w="1023"/>
        <w:gridCol w:w="1023"/>
        <w:gridCol w:w="1023"/>
        <w:gridCol w:w="1023"/>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2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56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很相关</w:t>
            </w:r>
          </w:p>
        </w:tc>
        <w:tc>
          <w:tcPr>
            <w:tcW w:w="568"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相关</w:t>
            </w:r>
          </w:p>
        </w:tc>
        <w:tc>
          <w:tcPr>
            <w:tcW w:w="568"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相关</w:t>
            </w:r>
          </w:p>
        </w:tc>
        <w:tc>
          <w:tcPr>
            <w:tcW w:w="568"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不相关</w:t>
            </w:r>
          </w:p>
        </w:tc>
        <w:tc>
          <w:tcPr>
            <w:tcW w:w="568"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相关</w:t>
            </w:r>
          </w:p>
        </w:tc>
        <w:tc>
          <w:tcPr>
            <w:tcW w:w="56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相关度</w:t>
            </w:r>
          </w:p>
        </w:tc>
        <w:tc>
          <w:tcPr>
            <w:tcW w:w="38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31.63%</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30.61%</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26.53%</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6.12%</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88.78%</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28.81%</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18.93%</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34.16%</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7.82%</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10.29%</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81.89%</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38.46%</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13.46%</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7.69%</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15.38%</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76.92%</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18.34%</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22.49%</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11.24%</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12.43%</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76.33%</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23.73%</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18.64%</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11.86%</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13.56%</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74.58%</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35.92%</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13.59%</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12.62%</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14.56%</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72.82%</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17.48%</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25.87%</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10.49%</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18.88%</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70.63%</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36.24%</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15.44%</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18.79%</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15.44%</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14.09%</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70.47%</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20.62%</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20.62%</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28.87%</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16.49%</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24.24%</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21.21%</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65.15%</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32.48%</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13.68%</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17.95%</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11.97%</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23.93%</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64.1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42.03%</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31.88%</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59.42%</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15.84%</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14.85%</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27.72%</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14.85%</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26.73%</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58.42%</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568"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26.32%</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57.89%</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23.68%</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13.16%</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42.11%</w:t>
            </w:r>
          </w:p>
        </w:tc>
        <w:tc>
          <w:tcPr>
            <w:tcW w:w="56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44.74%</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68"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9.09%</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6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各专业的专业相关度分布如下：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表5-4  2023届各专业毕业生专业相关度分布</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701"/>
        <w:gridCol w:w="918"/>
        <w:gridCol w:w="918"/>
        <w:gridCol w:w="919"/>
        <w:gridCol w:w="919"/>
        <w:gridCol w:w="919"/>
        <w:gridCol w:w="91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blHeader/>
        </w:trPr>
        <w:tc>
          <w:tcPr>
            <w:tcW w:w="1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51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很相关</w:t>
            </w:r>
          </w:p>
        </w:tc>
        <w:tc>
          <w:tcPr>
            <w:tcW w:w="51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相关</w:t>
            </w:r>
          </w:p>
        </w:tc>
        <w:tc>
          <w:tcPr>
            <w:tcW w:w="51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相关</w:t>
            </w:r>
          </w:p>
        </w:tc>
        <w:tc>
          <w:tcPr>
            <w:tcW w:w="51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不相关</w:t>
            </w:r>
          </w:p>
        </w:tc>
        <w:tc>
          <w:tcPr>
            <w:tcW w:w="51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相关</w:t>
            </w:r>
          </w:p>
        </w:tc>
        <w:tc>
          <w:tcPr>
            <w:tcW w:w="51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相关度</w:t>
            </w:r>
          </w:p>
        </w:tc>
        <w:tc>
          <w:tcPr>
            <w:tcW w:w="43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30.95%</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35.71%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30.95%</w:t>
            </w:r>
          </w:p>
        </w:tc>
        <w:tc>
          <w:tcPr>
            <w:tcW w:w="510"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97.62%</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33.64%</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36.45%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3.74%</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91.59%</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44.44%</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11.11%</w:t>
            </w:r>
          </w:p>
        </w:tc>
        <w:tc>
          <w:tcPr>
            <w:tcW w:w="510"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88.89%</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31.94%</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40.28%</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6.94%</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88.89%</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37.74%</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20.75%</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86.79%</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8.33%</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86.11%</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32.43%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24.32%</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27.03%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83.78%</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20.83%</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83.33%</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15.74%</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27.78%</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36.11%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12.96%</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7.41%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79.63%</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28.95%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28.95%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31.58%</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31.58%</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40.48%</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14.29%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23.81%</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78.57%</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44.59%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16.22%</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17.57%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12.16%</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78.38%</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17.14%</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17.14%</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5.71%</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77.14%</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23.73%</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18.64%</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11.86%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74.58%</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19.57%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23.91%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30.43%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15.22%</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10.87%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73.91%</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26.67%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73.33%</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color w:val="000000"/>
                <w:sz w:val="22"/>
                <w:u w:color="auto"/>
                <w:lang w:val="en-US" w:eastAsia="zh-CN"/>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36.15%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13.85%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20.77%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15.38%</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13.85%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70.77%</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35.29%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29.41%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5.88%</w:t>
            </w:r>
          </w:p>
        </w:tc>
        <w:tc>
          <w:tcPr>
            <w:tcW w:w="510"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29.41%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70.59%</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0%</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26.32%</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68.42%</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31.71%</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19.51%</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17.07%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14.63%</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17.07%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68.29%</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40.43%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14.89%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12.77%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17.02%</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14.89%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68.09%</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16.36%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23.64%</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14.55%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67.27%</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10.26%</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20.51%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17.95%</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17.95%</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64.1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10"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63.64%</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17.07%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14.63%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31.71%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17.07%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19.51%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63.41%</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13.16%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26.32%</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23.68%</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63.16%</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21.57%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13.73%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27.45%</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17.65%</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19.61%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62.75%</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24.32%</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24.32%</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5.41%</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32.43%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62.16%</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510"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52.38%</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28.57%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26.09%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13.04%</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21.74%</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30.43%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60.87%</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26.67%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26.67%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6.67%</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13.64%</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20.45%</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15.91%</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59.09%</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510"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26.32%</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57.89%</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11.11%</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27.78%</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55.56%</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13.79%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31.03%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13.79%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34.48%</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51.72%</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39.39%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51.52%</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18.75%</w:t>
            </w:r>
          </w:p>
        </w:tc>
        <w:tc>
          <w:tcPr>
            <w:tcW w:w="510"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43.75%</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1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4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510"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13.04%</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21.74%</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17.39%</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47.83%</w:t>
            </w:r>
          </w:p>
        </w:tc>
        <w:tc>
          <w:tcPr>
            <w:tcW w:w="51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34.78%</w:t>
            </w:r>
          </w:p>
        </w:tc>
        <w:tc>
          <w:tcPr>
            <w:tcW w:w="4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针对工作与专业不相关的毕业生进一步分析不相关的原因发现：42.38%的毕业生</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迫于现实先就业后择业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，27.56%的毕业生</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专业相关工作岗位招聘少</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19905" cy="2245360"/>
            <wp:effectExtent l="0" t="0" r="4445" b="2540"/>
            <wp:docPr id="26"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图5-3  2023届毕业生专业相关度低的原因分布（单位：%）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42"/>
        </w:numPr>
        <w:shd w:val="clear" w:color="auto" w:fill="FFFFFF"/>
        <w:spacing w:before="15" w:after="15" w:line="360" w:lineRule="auto"/>
        <w:jc w:val="left"/>
        <w:outlineLvl w:val="1"/>
        <w:rPr>
          <w:rFonts w:hint="default" w:ascii="Times New Roman" w:hAnsi="Times New Roman" w:cs="Times New Roman"/>
        </w:rPr>
      </w:pPr>
      <w:bookmarkStart w:id="58" w:name="_Toc20320"/>
      <w:r>
        <w:rPr>
          <w:rFonts w:hint="default" w:ascii="Times New Roman" w:hAnsi="Times New Roman" w:eastAsia="黑体" w:cs="Times New Roman"/>
          <w:b/>
          <w:color w:val="0F6FC6"/>
          <w:sz w:val="30"/>
          <w:u w:color="auto"/>
        </w:rPr>
        <w:t>三、工作满意度</w:t>
      </w:r>
      <w:bookmarkEnd w:id="5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毕业生对目前工作的满意度主要由三个方面组成：一是毕业生对于现实就业状况的评价，包括对目前的薪酬水平、工作内容的满意度；二是对于未来职业发展的预期评价，即对职业发展前景的满意度；三是对于就业状况的整体评价，即对目前工作的总体满意度。满意度评价维度包括</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很不满意、比较不满意、基本满意、比较满意、很满意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，满意度为选择</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比较满意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和</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基本满意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的人数占</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此题总人数</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的比例；另外针对毕业生的反馈分别赋予1-5分（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=5分，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很不满意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=1分），求出每个指标的平均值。</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工作总体及各方面的满意度：学校2023届毕业生对目前工作总体满意度为89.22%；对薪酬福利、职业发展、工作内容的满意度分别为78.72%、85.12%、87.31%。可见毕业生对初入职场的岗位和工作内容等方面均比较认同。</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37685" cy="2233295"/>
            <wp:effectExtent l="0" t="0" r="5715" b="14605"/>
            <wp:docPr id="27"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图5-4  2023届毕业生对工作满意度的评价（单位：%）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的工作满意度分布如下：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表5-5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毕业生对工作满意度的评价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320"/>
        <w:gridCol w:w="1670"/>
        <w:gridCol w:w="1670"/>
        <w:gridCol w:w="1670"/>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28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92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薪酬福利</w:t>
            </w:r>
          </w:p>
        </w:tc>
        <w:tc>
          <w:tcPr>
            <w:tcW w:w="92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职业发展</w:t>
            </w:r>
          </w:p>
        </w:tc>
        <w:tc>
          <w:tcPr>
            <w:tcW w:w="92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工作内容</w:t>
            </w:r>
          </w:p>
        </w:tc>
        <w:tc>
          <w:tcPr>
            <w:tcW w:w="92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工作总体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93.88%</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77.97%</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83.05%</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88.14%</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86.83%</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89.71%</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88.07%</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72.73%</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81.82%</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77.51%</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81.66%</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86.39%</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71.33%</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81.82%</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87.41%</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76.92%</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88.46%</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92.31%</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64.08%</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74.76%</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78.64%</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82.91%</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91.45%</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91.45%</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71.14%</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83.89%</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87.25%</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77.32%</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82.47%</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83.51%</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86.6</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81.19%</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86.14%</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85.15%</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73.91%</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78.26%</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79.71%</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73.68%</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84.21%</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86.84%</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78.79%</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84.85%</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84.21%</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89.47%</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各专业的工作满意度分布如下：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表5-6  2023届各专业毕业生对工作满意度的评价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700"/>
        <w:gridCol w:w="1575"/>
        <w:gridCol w:w="1575"/>
        <w:gridCol w:w="157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87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薪酬福利</w:t>
            </w:r>
          </w:p>
        </w:tc>
        <w:tc>
          <w:tcPr>
            <w:tcW w:w="87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职业发展</w:t>
            </w:r>
          </w:p>
        </w:tc>
        <w:tc>
          <w:tcPr>
            <w:tcW w:w="87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工作内容</w:t>
            </w:r>
          </w:p>
        </w:tc>
        <w:tc>
          <w:tcPr>
            <w:tcW w:w="87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工作总体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81.25%</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86.11%</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88.89%</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86.11%</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79.44%</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87.85%</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89.72%</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72.22%</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88.89%</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88.89%</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77.78%</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77.78%</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83.33%</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98.11%</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96.23%</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93.33%</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93.33%</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77.97%</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83.05%</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88.14%</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89.47%</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86.84%</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84.21%</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0%</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81.08%</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83.78%</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83.78%</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86.11%</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83.33%</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83.33%</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89.36%</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93.62%</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89.36%</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74.55%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85.45%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87.27%</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72.73%</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81.82%</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77.78%</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82.41%</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88.89%</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62.16%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71.62%</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78.38%</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82.86%</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88.57%</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85.71%</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64.71%</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82.35%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88.24%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69.7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75.76%</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78.79%</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84.62%</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86.15%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70.83%</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79.17%</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84.62%</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89.74%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92.31%</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86.67%</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93.33%</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86.67%</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86.21%</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89.66%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78.57%</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78.26%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89.86%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92.75%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70.73%</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85.37%</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80.49%</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71.74%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78.26%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86.96%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88.64%</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86.36%</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86.36%</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71.43%</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71.43%</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76.19%</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85.37%</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78.05%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85.37%</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66.67%</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76.47%</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80.39%</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84.21%</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89.47%</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81.58%</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86.84%</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86.84%</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69.57%</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78.26%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82.61%</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63.64%</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72.73%</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63.64%</w:t>
            </w:r>
          </w:p>
        </w:tc>
        <w:tc>
          <w:tcPr>
            <w:tcW w:w="87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72.73%</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针对不满意工作的毕业生进一步分析不满意的原因发现：49.2</w:t>
      </w:r>
      <w:r>
        <w:rPr>
          <w:rFonts w:hint="eastAsia"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%的毕业生认为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收入低</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，18.72%的毕业生认为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发展空间不够</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604385" cy="3736340"/>
            <wp:effectExtent l="0" t="0" r="5715" b="16510"/>
            <wp:docPr id="2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图5-5  2023届毕业生工作满意度低的原因分布（单位：%）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43"/>
        </w:numPr>
        <w:shd w:val="clear" w:color="auto" w:fill="FFFFFF"/>
        <w:spacing w:before="15" w:after="15" w:line="360" w:lineRule="auto"/>
        <w:jc w:val="left"/>
        <w:outlineLvl w:val="1"/>
        <w:rPr>
          <w:rFonts w:hint="default" w:ascii="Times New Roman" w:hAnsi="Times New Roman" w:cs="Times New Roman"/>
        </w:rPr>
      </w:pPr>
      <w:bookmarkStart w:id="59" w:name="_Toc18551"/>
      <w:r>
        <w:rPr>
          <w:rFonts w:hint="default" w:ascii="Times New Roman" w:hAnsi="Times New Roman" w:eastAsia="黑体" w:cs="Times New Roman"/>
          <w:b/>
          <w:color w:val="0F6FC6"/>
          <w:sz w:val="30"/>
          <w:u w:color="auto"/>
        </w:rPr>
        <w:t>四、岗位适应性</w:t>
      </w:r>
      <w:bookmarkEnd w:id="5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调查了解毕业生的工作岗位适应情况，其评价维度包括很不适应、比较不适应、基本适应、比较适应、很适应；</w:t>
      </w:r>
      <w:r>
        <w:rPr>
          <w:rFonts w:hint="eastAsia" w:cs="Times New Roman"/>
          <w:b w:val="0"/>
          <w:color w:val="000000"/>
          <w:sz w:val="24"/>
          <w:u w:color="auto"/>
          <w:lang w:val="en-US" w:eastAsia="zh-CN"/>
        </w:rPr>
        <w:t>岗位适应性</w:t>
      </w:r>
      <w:r>
        <w:rPr>
          <w:rFonts w:hint="default" w:ascii="Times New Roman" w:hAnsi="Times New Roman" w:eastAsia="宋体" w:cs="Times New Roman"/>
          <w:b w:val="0"/>
          <w:color w:val="000000"/>
          <w:sz w:val="24"/>
          <w:u w:color="auto"/>
        </w:rPr>
        <w:t>=</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很适应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比较适应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基本适应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占比。另外针对毕业生的反馈分别赋予1-5分（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很不适应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很适应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=5分），计算其均值。具体内容如下所示。</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就业岗位适应性反映了大学生对就业岗位的适应程度，学校2023届毕业生的就业岗位适应性为94.69%，多数毕业生能适应目前的就业岗位。</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920615" cy="2383790"/>
            <wp:effectExtent l="0" t="0" r="1905" b="8890"/>
            <wp:docPr id="29"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图5-6  2023届毕业生岗位适应性</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的岗位适应性分布如下：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表5-7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毕业生岗位适应性分布</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050"/>
        <w:gridCol w:w="1041"/>
        <w:gridCol w:w="1041"/>
        <w:gridCol w:w="1041"/>
        <w:gridCol w:w="1041"/>
        <w:gridCol w:w="1041"/>
        <w:gridCol w:w="1045"/>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13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57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很适应</w:t>
            </w:r>
          </w:p>
        </w:tc>
        <w:tc>
          <w:tcPr>
            <w:tcW w:w="578"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适应</w:t>
            </w:r>
          </w:p>
        </w:tc>
        <w:tc>
          <w:tcPr>
            <w:tcW w:w="578"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适应</w:t>
            </w:r>
          </w:p>
        </w:tc>
        <w:tc>
          <w:tcPr>
            <w:tcW w:w="578"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不适应</w:t>
            </w:r>
          </w:p>
        </w:tc>
        <w:tc>
          <w:tcPr>
            <w:tcW w:w="578"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适应</w:t>
            </w:r>
          </w:p>
        </w:tc>
        <w:tc>
          <w:tcPr>
            <w:tcW w:w="580" w:type="pct"/>
            <w:shd w:val="clear" w:color="auto" w:fill="0F6FC6"/>
            <w:vAlign w:val="center"/>
          </w:tcPr>
          <w:p>
            <w:pPr>
              <w:jc w:val="center"/>
              <w:rPr>
                <w:rFonts w:hint="default" w:ascii="Times New Roman" w:hAnsi="Times New Roman" w:eastAsia="宋体" w:cs="Times New Roman"/>
                <w:lang w:val="en-US" w:eastAsia="zh-CN"/>
              </w:rPr>
            </w:pPr>
            <w:r>
              <w:rPr>
                <w:rFonts w:hint="eastAsia" w:cs="Times New Roman"/>
                <w:b/>
                <w:color w:val="FFFFFF"/>
                <w:sz w:val="22"/>
                <w:u w:color="auto"/>
                <w:lang w:val="en-US" w:eastAsia="zh-CN"/>
              </w:rPr>
              <w:t>适应性</w:t>
            </w:r>
          </w:p>
        </w:tc>
        <w:tc>
          <w:tcPr>
            <w:tcW w:w="38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8"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0.5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99.0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31.63%</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45.92%</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20.41%</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1.02%</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1.02%</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21.48%</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40.94%</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2.68%</w:t>
            </w:r>
          </w:p>
        </w:tc>
        <w:tc>
          <w:tcPr>
            <w:tcW w:w="578"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97.32%</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29.06%</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37.61%</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29.06%</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3.42%</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0.85%</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95.73%</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21.89%</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33.14%</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40.24%</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3.55%</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1.18%</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95.27%</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33.98%</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37.86%</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2.91%</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1.94%</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95.15%</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37.04%</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27.57%</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30.45%</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2.88%</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95.06%</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18.64%</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47.46%</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28.81%</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3.39%</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1.69%</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94.92%</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26.32%</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47.37%</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78"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19.58%</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40.56%</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32.87%</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93.01%</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25.77%</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34.02%</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32.99%</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4.12%</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3.09%</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92.78%</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24.64%</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36.23%</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31.88%</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1.45%</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92.75%</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21.21%</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37.88%</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4.55%</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3.03%</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92.42%</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78"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34.62%</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28.85%</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26.92%</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3.85%</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5.77%</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26.32%</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18.42%</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44.74%</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w:t>
            </w:r>
          </w:p>
        </w:tc>
        <w:tc>
          <w:tcPr>
            <w:tcW w:w="5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89.47%</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3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22.77%</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36.63%</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27.72%</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8.91%</w:t>
            </w:r>
          </w:p>
        </w:tc>
        <w:tc>
          <w:tcPr>
            <w:tcW w:w="5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3.96%</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87.13%</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3.66</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各专业的岗位适应性分布如下：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表5-8  2023届各专业毕业生岗位适应性分布</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240"/>
        <w:gridCol w:w="1008"/>
        <w:gridCol w:w="1008"/>
        <w:gridCol w:w="1008"/>
        <w:gridCol w:w="1008"/>
        <w:gridCol w:w="1008"/>
        <w:gridCol w:w="1010"/>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24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56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很适应</w:t>
            </w:r>
          </w:p>
        </w:tc>
        <w:tc>
          <w:tcPr>
            <w:tcW w:w="56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适应</w:t>
            </w:r>
          </w:p>
        </w:tc>
        <w:tc>
          <w:tcPr>
            <w:tcW w:w="56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适应</w:t>
            </w:r>
          </w:p>
        </w:tc>
        <w:tc>
          <w:tcPr>
            <w:tcW w:w="56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不适应</w:t>
            </w:r>
          </w:p>
        </w:tc>
        <w:tc>
          <w:tcPr>
            <w:tcW w:w="56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适应</w:t>
            </w:r>
          </w:p>
        </w:tc>
        <w:tc>
          <w:tcPr>
            <w:tcW w:w="561" w:type="pct"/>
            <w:shd w:val="clear" w:color="auto" w:fill="0F6FC6"/>
            <w:vAlign w:val="center"/>
          </w:tcPr>
          <w:p>
            <w:pPr>
              <w:jc w:val="center"/>
              <w:rPr>
                <w:rFonts w:hint="default" w:ascii="Times New Roman" w:hAnsi="Times New Roman" w:cs="Times New Roman"/>
                <w:lang w:val="en-US"/>
              </w:rPr>
            </w:pPr>
            <w:r>
              <w:rPr>
                <w:rFonts w:hint="eastAsia" w:cs="Times New Roman"/>
                <w:b/>
                <w:color w:val="FFFFFF"/>
                <w:sz w:val="22"/>
                <w:u w:color="auto"/>
                <w:lang w:val="en-US" w:eastAsia="zh-CN"/>
              </w:rPr>
              <w:t>适应性</w:t>
            </w:r>
          </w:p>
        </w:tc>
        <w:tc>
          <w:tcPr>
            <w:tcW w:w="39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36.45%</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36.45%</w:t>
            </w:r>
          </w:p>
        </w:tc>
        <w:tc>
          <w:tcPr>
            <w:tcW w:w="560"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60" w:type="pct"/>
            <w:vAlign w:val="center"/>
          </w:tcPr>
          <w:p>
            <w:pPr>
              <w:jc w:val="center"/>
              <w:rPr>
                <w:rFonts w:hint="default" w:cs="Times New Roman"/>
                <w:color w:val="000000"/>
                <w:sz w:val="22"/>
                <w:u w:color="auto"/>
                <w:lang w:val="en-US" w:eastAsia="zh-CN"/>
              </w:rPr>
            </w:pPr>
            <w:r>
              <w:rPr>
                <w:rFonts w:hint="eastAsia" w:cs="Times New Roman"/>
                <w:color w:val="000000"/>
                <w:sz w:val="22"/>
                <w:u w:color="auto"/>
                <w:lang w:val="en-US" w:eastAsia="zh-CN"/>
              </w:rPr>
              <w:t>-</w:t>
            </w:r>
          </w:p>
        </w:tc>
        <w:tc>
          <w:tcPr>
            <w:tcW w:w="5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5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11.11%</w:t>
            </w:r>
          </w:p>
        </w:tc>
        <w:tc>
          <w:tcPr>
            <w:tcW w:w="5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38.89%</w:t>
            </w:r>
          </w:p>
        </w:tc>
        <w:tc>
          <w:tcPr>
            <w:tcW w:w="5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0"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0"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5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45.45%</w:t>
            </w:r>
          </w:p>
        </w:tc>
        <w:tc>
          <w:tcPr>
            <w:tcW w:w="560"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0"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0"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5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c>
          <w:tcPr>
            <w:tcW w:w="5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39.47%</w:t>
            </w:r>
          </w:p>
        </w:tc>
        <w:tc>
          <w:tcPr>
            <w:tcW w:w="5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0"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0"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6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旅游管理</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33.33%</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26.67%</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0" w:type="pct"/>
            <w:shd w:val="clear" w:color="auto" w:fill="C7E2FA"/>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生物技术</w:t>
            </w:r>
          </w:p>
        </w:tc>
        <w:tc>
          <w:tcPr>
            <w:tcW w:w="560"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37.84%</w:t>
            </w:r>
          </w:p>
        </w:tc>
        <w:tc>
          <w:tcPr>
            <w:tcW w:w="560"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35.14%</w:t>
            </w:r>
          </w:p>
        </w:tc>
        <w:tc>
          <w:tcPr>
            <w:tcW w:w="560"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27.03%</w:t>
            </w:r>
          </w:p>
        </w:tc>
        <w:tc>
          <w:tcPr>
            <w:tcW w:w="560" w:type="pct"/>
            <w:shd w:val="clear" w:color="auto" w:fill="auto"/>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0" w:type="pct"/>
            <w:shd w:val="clear" w:color="auto" w:fill="auto"/>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1"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食品科学与工程</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31.58%</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57.89%</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10.53%</w:t>
            </w:r>
          </w:p>
        </w:tc>
        <w:tc>
          <w:tcPr>
            <w:tcW w:w="560" w:type="pct"/>
            <w:shd w:val="clear" w:color="auto" w:fill="C7E2FA"/>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0" w:type="pct"/>
            <w:shd w:val="clear" w:color="auto" w:fill="C7E2FA"/>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轨道交通信号与控制</w:t>
            </w:r>
          </w:p>
        </w:tc>
        <w:tc>
          <w:tcPr>
            <w:tcW w:w="560"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47.17%</w:t>
            </w:r>
          </w:p>
        </w:tc>
        <w:tc>
          <w:tcPr>
            <w:tcW w:w="560"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28.3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22.64%</w:t>
            </w:r>
          </w:p>
        </w:tc>
        <w:tc>
          <w:tcPr>
            <w:tcW w:w="560" w:type="pct"/>
            <w:shd w:val="clear" w:color="auto" w:fill="auto"/>
            <w:vAlign w:val="center"/>
          </w:tcPr>
          <w:p>
            <w:pPr>
              <w:jc w:val="center"/>
              <w:rPr>
                <w:rFonts w:hint="eastAsia" w:ascii="Times New Roman" w:hAnsi="Times New Roman" w:eastAsia="宋体" w:cs="Times New Roman"/>
                <w:sz w:val="21"/>
                <w:szCs w:val="22"/>
                <w:lang w:val="en-US" w:eastAsia="zh-CN"/>
              </w:rPr>
            </w:pPr>
            <w:r>
              <w:rPr>
                <w:rFonts w:hint="eastAsia" w:cs="Times New Roman"/>
                <w:color w:val="000000"/>
                <w:sz w:val="22"/>
                <w:u w:color="auto"/>
                <w:lang w:val="en-US" w:eastAsia="zh-CN"/>
              </w:rPr>
              <w:t>-</w:t>
            </w:r>
          </w:p>
        </w:tc>
        <w:tc>
          <w:tcPr>
            <w:tcW w:w="560" w:type="pct"/>
            <w:shd w:val="clear" w:color="auto" w:fill="auto"/>
            <w:vAlign w:val="center"/>
          </w:tcPr>
          <w:p>
            <w:pPr>
              <w:jc w:val="center"/>
              <w:rPr>
                <w:rFonts w:hint="eastAsia" w:ascii="Times New Roman" w:hAnsi="Times New Roman" w:eastAsia="宋体" w:cs="Times New Roman"/>
                <w:sz w:val="21"/>
                <w:szCs w:val="22"/>
                <w:lang w:val="en-US" w:eastAsia="zh-CN"/>
              </w:rPr>
            </w:pPr>
            <w:r>
              <w:rPr>
                <w:rFonts w:hint="default" w:ascii="Times New Roman" w:hAnsi="Times New Roman" w:eastAsia="宋体" w:cs="Times New Roman"/>
                <w:color w:val="000000"/>
                <w:sz w:val="22"/>
                <w:u w:color="auto"/>
              </w:rPr>
              <w:t>1.89%</w:t>
            </w:r>
          </w:p>
        </w:tc>
        <w:tc>
          <w:tcPr>
            <w:tcW w:w="561"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98.11%</w:t>
            </w:r>
          </w:p>
        </w:tc>
        <w:tc>
          <w:tcPr>
            <w:tcW w:w="394" w:type="pct"/>
            <w:shd w:val="clear" w:color="auto" w:fill="auto"/>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舞蹈学</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29.79%</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38.3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29.79%</w:t>
            </w:r>
          </w:p>
        </w:tc>
        <w:tc>
          <w:tcPr>
            <w:tcW w:w="560" w:type="pct"/>
            <w:shd w:val="clear" w:color="auto" w:fill="C7E2FA"/>
            <w:vAlign w:val="center"/>
          </w:tcPr>
          <w:p>
            <w:pPr>
              <w:jc w:val="center"/>
              <w:rPr>
                <w:rFonts w:hint="eastAsia" w:ascii="Times New Roman" w:hAnsi="Times New Roman" w:eastAsia="宋体" w:cs="Times New Roman"/>
                <w:sz w:val="21"/>
                <w:szCs w:val="22"/>
                <w:lang w:eastAsia="zh-CN"/>
              </w:rPr>
            </w:pPr>
            <w:r>
              <w:rPr>
                <w:rFonts w:hint="default" w:ascii="Times New Roman" w:hAnsi="Times New Roman" w:eastAsia="宋体" w:cs="Times New Roman"/>
                <w:color w:val="000000"/>
                <w:sz w:val="22"/>
                <w:u w:color="auto"/>
              </w:rPr>
              <w:t>2.13%</w:t>
            </w:r>
          </w:p>
        </w:tc>
        <w:tc>
          <w:tcPr>
            <w:tcW w:w="560" w:type="pct"/>
            <w:shd w:val="clear" w:color="auto" w:fill="C7E2FA"/>
            <w:vAlign w:val="center"/>
          </w:tcPr>
          <w:p>
            <w:pPr>
              <w:jc w:val="center"/>
              <w:rPr>
                <w:rFonts w:hint="default" w:ascii="Times New Roman" w:hAnsi="Times New Roman" w:eastAsia="宋体" w:cs="Times New Roman"/>
                <w:sz w:val="21"/>
                <w:szCs w:val="22"/>
                <w:lang w:val="en-US" w:eastAsia="zh-CN"/>
              </w:rPr>
            </w:pPr>
            <w:r>
              <w:rPr>
                <w:rFonts w:hint="eastAsia" w:cs="Times New Roman"/>
                <w:lang w:val="en-US" w:eastAsia="zh-CN"/>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97.87%</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学前教育</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34.62%</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43.08%</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2.31%</w:t>
            </w:r>
          </w:p>
        </w:tc>
        <w:tc>
          <w:tcPr>
            <w:tcW w:w="560" w:type="pct"/>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97.69%</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财务管理</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19.44%</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36.11%</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41.67%</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2.78%</w:t>
            </w:r>
          </w:p>
        </w:tc>
        <w:tc>
          <w:tcPr>
            <w:tcW w:w="560" w:type="pct"/>
            <w:shd w:val="clear" w:color="auto" w:fill="C7E2FA"/>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97.22%</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机械设计制造及其自动化</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43.06%</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26.39%</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27.78%</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1.39%</w:t>
            </w:r>
          </w:p>
        </w:tc>
        <w:tc>
          <w:tcPr>
            <w:tcW w:w="560" w:type="pct"/>
            <w:vAlign w:val="center"/>
          </w:tcPr>
          <w:p>
            <w:pPr>
              <w:jc w:val="center"/>
              <w:rPr>
                <w:rFonts w:hint="eastAsia" w:ascii="Times New Roman" w:hAnsi="Times New Roman" w:eastAsia="宋体" w:cs="Times New Roman"/>
                <w:sz w:val="21"/>
                <w:szCs w:val="22"/>
                <w:lang w:val="en-US" w:eastAsia="zh-CN"/>
              </w:rPr>
            </w:pPr>
            <w:r>
              <w:rPr>
                <w:rFonts w:hint="default" w:ascii="Times New Roman" w:hAnsi="Times New Roman" w:eastAsia="宋体" w:cs="Times New Roman"/>
                <w:color w:val="000000"/>
                <w:sz w:val="22"/>
                <w:u w:color="auto"/>
              </w:rPr>
              <w:t>1.39%</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97.22%</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翻译</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lang w:eastAsia="zh-CN"/>
              </w:rPr>
            </w:pPr>
            <w:r>
              <w:rPr>
                <w:rFonts w:hint="eastAsia" w:cs="Times New Roman"/>
                <w:color w:val="000000"/>
                <w:sz w:val="22"/>
                <w:u w:color="auto"/>
                <w:lang w:val="en-US" w:eastAsia="zh-CN"/>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生物科学</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26.19%</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19.05%</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2.38%</w:t>
            </w:r>
          </w:p>
        </w:tc>
        <w:tc>
          <w:tcPr>
            <w:tcW w:w="560" w:type="pct"/>
            <w:vAlign w:val="center"/>
          </w:tcPr>
          <w:p>
            <w:pPr>
              <w:jc w:val="center"/>
              <w:rPr>
                <w:rFonts w:hint="eastAsia" w:ascii="Times New Roman" w:hAnsi="Times New Roman" w:eastAsia="宋体" w:cs="Times New Roman"/>
                <w:sz w:val="21"/>
                <w:szCs w:val="22"/>
                <w:lang w:eastAsia="zh-CN"/>
              </w:rPr>
            </w:pPr>
            <w:r>
              <w:rPr>
                <w:rFonts w:hint="default" w:ascii="Times New Roman" w:hAnsi="Times New Roman" w:eastAsia="宋体" w:cs="Times New Roman"/>
                <w:color w:val="000000"/>
                <w:sz w:val="22"/>
                <w:u w:color="auto"/>
              </w:rPr>
              <w:t>2.38%</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95.24%</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思想政治教育</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18.64%</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47.46%</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28.81%</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3.39%</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1.69%</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94.92%</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新闻学</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17.95%</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48.72%</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28.21%</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2.56%</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2.56%</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94.87%</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小学教育</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31.58%</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36.84%</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26.32%</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5.26%</w:t>
            </w:r>
          </w:p>
        </w:tc>
        <w:tc>
          <w:tcPr>
            <w:tcW w:w="560" w:type="pct"/>
            <w:shd w:val="clear" w:color="auto" w:fill="C7E2FA"/>
            <w:vAlign w:val="center"/>
          </w:tcPr>
          <w:p>
            <w:pPr>
              <w:jc w:val="center"/>
              <w:rPr>
                <w:rFonts w:hint="default" w:ascii="Times New Roman" w:hAnsi="Times New Roman" w:eastAsia="宋体" w:cs="Times New Roman"/>
                <w:sz w:val="21"/>
                <w:szCs w:val="22"/>
                <w:lang w:eastAsia="zh-CN"/>
              </w:rPr>
            </w:pPr>
            <w:r>
              <w:rPr>
                <w:rFonts w:hint="eastAsia" w:cs="Times New Roman"/>
                <w:color w:val="000000"/>
                <w:sz w:val="22"/>
                <w:u w:color="auto"/>
                <w:lang w:val="en-US" w:eastAsia="zh-CN"/>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94.74%</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应用化学</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26.32%</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39.47%</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28.95%</w:t>
            </w:r>
          </w:p>
        </w:tc>
        <w:tc>
          <w:tcPr>
            <w:tcW w:w="560" w:type="pct"/>
            <w:vAlign w:val="center"/>
          </w:tcPr>
          <w:p>
            <w:pPr>
              <w:jc w:val="center"/>
              <w:rPr>
                <w:rFonts w:hint="default" w:ascii="Times New Roman" w:hAnsi="Times New Roman" w:eastAsia="宋体" w:cs="Times New Roman"/>
                <w:sz w:val="21"/>
                <w:szCs w:val="22"/>
                <w:lang w:eastAsia="zh-CN"/>
              </w:rPr>
            </w:pPr>
            <w:r>
              <w:rPr>
                <w:rFonts w:hint="eastAsia" w:cs="Times New Roman"/>
                <w:color w:val="000000"/>
                <w:sz w:val="22"/>
                <w:u w:color="auto"/>
                <w:lang w:val="en-US" w:eastAsia="zh-CN"/>
              </w:rPr>
              <w:t>-</w:t>
            </w:r>
          </w:p>
        </w:tc>
        <w:tc>
          <w:tcPr>
            <w:tcW w:w="560" w:type="pct"/>
            <w:vAlign w:val="center"/>
          </w:tcPr>
          <w:p>
            <w:pPr>
              <w:jc w:val="center"/>
              <w:rPr>
                <w:rFonts w:hint="eastAsia" w:ascii="Times New Roman" w:hAnsi="Times New Roman" w:eastAsia="宋体" w:cs="Times New Roman"/>
                <w:sz w:val="21"/>
                <w:szCs w:val="22"/>
                <w:lang w:eastAsia="zh-CN"/>
              </w:rPr>
            </w:pPr>
            <w:r>
              <w:rPr>
                <w:rFonts w:hint="default" w:ascii="Times New Roman" w:hAnsi="Times New Roman" w:eastAsia="宋体" w:cs="Times New Roman"/>
                <w:color w:val="000000"/>
                <w:sz w:val="22"/>
                <w:u w:color="auto"/>
              </w:rPr>
              <w:t>5.26%</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94.74%</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复合材料与工程</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21.05%</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26.32%</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47.37%</w:t>
            </w:r>
          </w:p>
        </w:tc>
        <w:tc>
          <w:tcPr>
            <w:tcW w:w="560" w:type="pct"/>
            <w:shd w:val="clear" w:color="auto" w:fill="C7E2FA"/>
            <w:vAlign w:val="center"/>
          </w:tcPr>
          <w:p>
            <w:pPr>
              <w:jc w:val="center"/>
              <w:rPr>
                <w:rFonts w:hint="eastAsia" w:ascii="Times New Roman" w:hAnsi="Times New Roman" w:eastAsia="宋体" w:cs="Times New Roman"/>
                <w:sz w:val="21"/>
                <w:szCs w:val="22"/>
                <w:lang w:eastAsia="zh-CN"/>
              </w:rPr>
            </w:pPr>
            <w:r>
              <w:rPr>
                <w:rFonts w:hint="default" w:ascii="Times New Roman" w:hAnsi="Times New Roman" w:eastAsia="宋体" w:cs="Times New Roman"/>
                <w:color w:val="000000"/>
                <w:sz w:val="22"/>
                <w:u w:color="auto"/>
              </w:rPr>
              <w:t>5.26%</w:t>
            </w:r>
          </w:p>
        </w:tc>
        <w:tc>
          <w:tcPr>
            <w:tcW w:w="560" w:type="pct"/>
            <w:shd w:val="clear" w:color="auto" w:fill="C7E2FA"/>
            <w:vAlign w:val="center"/>
          </w:tcPr>
          <w:p>
            <w:pPr>
              <w:jc w:val="center"/>
              <w:rPr>
                <w:rFonts w:hint="default" w:ascii="Times New Roman" w:hAnsi="Times New Roman" w:eastAsia="宋体" w:cs="Times New Roman"/>
                <w:sz w:val="21"/>
                <w:szCs w:val="22"/>
                <w:lang w:eastAsia="zh-CN"/>
              </w:rPr>
            </w:pPr>
            <w:r>
              <w:rPr>
                <w:rFonts w:hint="eastAsia" w:cs="Times New Roman"/>
                <w:color w:val="000000"/>
                <w:sz w:val="22"/>
                <w:u w:color="auto"/>
                <w:lang w:val="en-US" w:eastAsia="zh-CN"/>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94.74%</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人力资源管理</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29.73%</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35.14%</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29.73%</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eastAsia" w:ascii="Times New Roman" w:hAnsi="Times New Roman" w:eastAsia="宋体" w:cs="Times New Roman"/>
                <w:sz w:val="21"/>
                <w:szCs w:val="22"/>
                <w:lang w:eastAsia="zh-CN"/>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94.59%</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自动化</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38.89%</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30.56%</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5.56%</w:t>
            </w:r>
          </w:p>
        </w:tc>
        <w:tc>
          <w:tcPr>
            <w:tcW w:w="560" w:type="pct"/>
            <w:shd w:val="clear" w:color="auto" w:fill="C7E2FA"/>
            <w:vAlign w:val="center"/>
          </w:tcPr>
          <w:p>
            <w:pPr>
              <w:jc w:val="center"/>
              <w:rPr>
                <w:rFonts w:hint="default" w:ascii="Times New Roman" w:hAnsi="Times New Roman" w:eastAsia="宋体" w:cs="Times New Roman"/>
                <w:sz w:val="21"/>
                <w:szCs w:val="22"/>
                <w:lang w:val="en-US" w:eastAsia="zh-CN"/>
              </w:rPr>
            </w:pPr>
            <w:r>
              <w:rPr>
                <w:rFonts w:hint="eastAsia" w:cs="Times New Roman"/>
                <w:lang w:val="en-US" w:eastAsia="zh-CN"/>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94.44%</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机械电子工程</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22.22%</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33.33%</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38.89%</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5.56%</w:t>
            </w:r>
          </w:p>
        </w:tc>
        <w:tc>
          <w:tcPr>
            <w:tcW w:w="560" w:type="pct"/>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94.44%</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汽车服务工程</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28.57%</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25.71%</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5.71%</w:t>
            </w:r>
          </w:p>
        </w:tc>
        <w:tc>
          <w:tcPr>
            <w:tcW w:w="560" w:type="pct"/>
            <w:shd w:val="clear" w:color="auto" w:fill="C7E2FA"/>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94.29%</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音乐学</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27.54%</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37.68%</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28.99%</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4.35%</w:t>
            </w:r>
          </w:p>
        </w:tc>
        <w:tc>
          <w:tcPr>
            <w:tcW w:w="560" w:type="pct"/>
            <w:vAlign w:val="center"/>
          </w:tcPr>
          <w:p>
            <w:pPr>
              <w:jc w:val="center"/>
              <w:rPr>
                <w:rFonts w:hint="eastAsia" w:ascii="Times New Roman" w:hAnsi="Times New Roman" w:eastAsia="宋体" w:cs="Times New Roman"/>
                <w:sz w:val="21"/>
                <w:szCs w:val="22"/>
                <w:lang w:val="en-US" w:eastAsia="zh-CN"/>
              </w:rPr>
            </w:pPr>
            <w:r>
              <w:rPr>
                <w:rFonts w:hint="default" w:ascii="Times New Roman" w:hAnsi="Times New Roman" w:eastAsia="宋体" w:cs="Times New Roman"/>
                <w:color w:val="000000"/>
                <w:sz w:val="22"/>
                <w:u w:color="auto"/>
              </w:rPr>
              <w:t>1.45%</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书法学</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17.65%</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41.18%</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35.29%</w:t>
            </w:r>
          </w:p>
        </w:tc>
        <w:tc>
          <w:tcPr>
            <w:tcW w:w="560" w:type="pct"/>
            <w:shd w:val="clear" w:color="auto" w:fill="C7E2FA"/>
            <w:vAlign w:val="center"/>
          </w:tcPr>
          <w:p>
            <w:pPr>
              <w:jc w:val="center"/>
              <w:rPr>
                <w:rFonts w:hint="default" w:ascii="Times New Roman" w:hAnsi="Times New Roman" w:eastAsia="宋体" w:cs="Times New Roman"/>
                <w:sz w:val="21"/>
                <w:szCs w:val="22"/>
                <w:lang w:eastAsia="zh-CN"/>
              </w:rPr>
            </w:pPr>
            <w:r>
              <w:rPr>
                <w:rFonts w:hint="eastAsia" w:cs="Times New Roman"/>
                <w:color w:val="000000"/>
                <w:sz w:val="22"/>
                <w:u w:color="auto"/>
                <w:lang w:val="en-US" w:eastAsia="zh-CN"/>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5.88%</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94.12%</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物联网工程</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31.25%</w:t>
            </w:r>
          </w:p>
        </w:tc>
        <w:tc>
          <w:tcPr>
            <w:tcW w:w="560" w:type="pct"/>
            <w:vAlign w:val="center"/>
          </w:tcPr>
          <w:p>
            <w:pPr>
              <w:jc w:val="center"/>
              <w:rPr>
                <w:rFonts w:hint="eastAsia" w:ascii="Times New Roman" w:hAnsi="Times New Roman" w:eastAsia="宋体" w:cs="Times New Roman"/>
                <w:sz w:val="21"/>
                <w:szCs w:val="22"/>
                <w:lang w:eastAsia="zh-CN"/>
              </w:rPr>
            </w:pPr>
            <w:r>
              <w:rPr>
                <w:rFonts w:hint="default" w:ascii="Times New Roman" w:hAnsi="Times New Roman" w:eastAsia="宋体" w:cs="Times New Roman"/>
                <w:color w:val="000000"/>
                <w:sz w:val="22"/>
                <w:u w:color="auto"/>
              </w:rPr>
              <w:t>6.25%</w:t>
            </w:r>
          </w:p>
        </w:tc>
        <w:tc>
          <w:tcPr>
            <w:tcW w:w="560" w:type="pct"/>
            <w:vAlign w:val="center"/>
          </w:tcPr>
          <w:p>
            <w:pPr>
              <w:jc w:val="center"/>
              <w:rPr>
                <w:rFonts w:hint="default" w:ascii="Times New Roman" w:hAnsi="Times New Roman" w:eastAsia="宋体" w:cs="Times New Roman"/>
                <w:sz w:val="21"/>
                <w:szCs w:val="22"/>
                <w:lang w:val="en-US" w:eastAsia="zh-CN"/>
              </w:rPr>
            </w:pPr>
            <w:r>
              <w:rPr>
                <w:rFonts w:hint="eastAsia" w:cs="Times New Roman"/>
                <w:color w:val="000000"/>
                <w:sz w:val="22"/>
                <w:u w:color="auto"/>
                <w:lang w:val="en-US" w:eastAsia="zh-CN"/>
              </w:rPr>
              <w:t>-</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93.75%</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美术学</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13.04%</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36.96%</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43.48%</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2.17%</w:t>
            </w:r>
          </w:p>
        </w:tc>
        <w:tc>
          <w:tcPr>
            <w:tcW w:w="560" w:type="pct"/>
            <w:shd w:val="clear" w:color="auto" w:fill="C7E2FA"/>
            <w:vAlign w:val="center"/>
          </w:tcPr>
          <w:p>
            <w:pPr>
              <w:jc w:val="center"/>
              <w:rPr>
                <w:rFonts w:hint="eastAsia" w:ascii="Times New Roman" w:hAnsi="Times New Roman" w:eastAsia="宋体" w:cs="Times New Roman"/>
                <w:sz w:val="21"/>
                <w:szCs w:val="22"/>
                <w:lang w:val="en-US" w:eastAsia="zh-CN"/>
              </w:rPr>
            </w:pPr>
            <w:r>
              <w:rPr>
                <w:rFonts w:hint="default" w:ascii="Times New Roman" w:hAnsi="Times New Roman" w:eastAsia="宋体" w:cs="Times New Roman"/>
                <w:color w:val="000000"/>
                <w:sz w:val="22"/>
                <w:u w:color="auto"/>
              </w:rPr>
              <w:t>4.35%</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93.48%</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物理学</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13.33%</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60.0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eastAsia="宋体" w:cs="Times New Roman"/>
                <w:sz w:val="21"/>
                <w:szCs w:val="22"/>
                <w:lang w:eastAsia="zh-CN"/>
              </w:rPr>
            </w:pPr>
            <w:r>
              <w:rPr>
                <w:rFonts w:hint="eastAsia" w:cs="Times New Roman"/>
                <w:color w:val="000000"/>
                <w:sz w:val="22"/>
                <w:u w:color="auto"/>
                <w:lang w:val="en-US" w:eastAsia="zh-CN"/>
              </w:rPr>
              <w:t>-</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6.67%</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93.33%</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数学与应用数学</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25.68%</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33.78%</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33.78%</w:t>
            </w:r>
          </w:p>
        </w:tc>
        <w:tc>
          <w:tcPr>
            <w:tcW w:w="560" w:type="pct"/>
            <w:shd w:val="clear" w:color="auto" w:fill="C7E2FA"/>
            <w:vAlign w:val="center"/>
          </w:tcPr>
          <w:p>
            <w:pPr>
              <w:jc w:val="center"/>
              <w:rPr>
                <w:rFonts w:hint="eastAsia" w:ascii="Times New Roman" w:hAnsi="Times New Roman" w:eastAsia="宋体" w:cs="Times New Roman"/>
                <w:sz w:val="21"/>
                <w:szCs w:val="22"/>
                <w:lang w:eastAsia="zh-CN"/>
              </w:rPr>
            </w:pPr>
            <w:r>
              <w:rPr>
                <w:rFonts w:hint="default" w:ascii="Times New Roman" w:hAnsi="Times New Roman" w:eastAsia="宋体" w:cs="Times New Roman"/>
                <w:color w:val="000000"/>
                <w:sz w:val="22"/>
                <w:u w:color="auto"/>
              </w:rPr>
              <w:t>4.05%</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93.24%</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视觉传达设计</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25.45%</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43.64%</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23.64%</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5.45%</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1.82%</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92.73%</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环境设计</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lang w:val="en-US" w:eastAsia="zh-CN"/>
              </w:rPr>
            </w:pPr>
            <w:r>
              <w:rPr>
                <w:rFonts w:hint="eastAsia" w:cs="Times New Roman"/>
                <w:lang w:val="en-US" w:eastAsia="zh-CN"/>
              </w:rPr>
              <w:t>-</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文化产业管理</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36.36%</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27.27%</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27.27%</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9.09%</w:t>
            </w:r>
          </w:p>
        </w:tc>
        <w:tc>
          <w:tcPr>
            <w:tcW w:w="560" w:type="pct"/>
            <w:vAlign w:val="center"/>
          </w:tcPr>
          <w:p>
            <w:pPr>
              <w:jc w:val="center"/>
              <w:rPr>
                <w:rFonts w:hint="eastAsia" w:ascii="Times New Roman" w:hAnsi="Times New Roman" w:eastAsia="宋体" w:cs="Times New Roman"/>
                <w:sz w:val="21"/>
                <w:szCs w:val="22"/>
                <w:lang w:val="en-US" w:eastAsia="zh-CN"/>
              </w:rPr>
            </w:pPr>
            <w:r>
              <w:rPr>
                <w:rFonts w:hint="eastAsia" w:cs="Times New Roman"/>
                <w:lang w:val="en-US" w:eastAsia="zh-CN"/>
              </w:rPr>
              <w:t>-</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90.91%</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酒店管理</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24.24%</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39.39%</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27.27%</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6.06%</w:t>
            </w:r>
          </w:p>
        </w:tc>
        <w:tc>
          <w:tcPr>
            <w:tcW w:w="560" w:type="pct"/>
            <w:shd w:val="clear" w:color="auto" w:fill="C7E2FA"/>
            <w:vAlign w:val="center"/>
          </w:tcPr>
          <w:p>
            <w:pPr>
              <w:jc w:val="center"/>
              <w:rPr>
                <w:rFonts w:hint="eastAsia" w:ascii="Times New Roman" w:hAnsi="Times New Roman" w:eastAsia="宋体" w:cs="Times New Roman"/>
                <w:sz w:val="21"/>
                <w:szCs w:val="22"/>
                <w:lang w:val="en-US" w:eastAsia="zh-CN"/>
              </w:rPr>
            </w:pPr>
            <w:r>
              <w:rPr>
                <w:rFonts w:hint="default" w:ascii="Times New Roman" w:hAnsi="Times New Roman" w:eastAsia="宋体" w:cs="Times New Roman"/>
                <w:color w:val="000000"/>
                <w:sz w:val="22"/>
                <w:u w:color="auto"/>
              </w:rPr>
              <w:t>3.03%</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90.91%</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会展经济与管理</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19.05%</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38.1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33.33%</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9.52%</w:t>
            </w:r>
          </w:p>
        </w:tc>
        <w:tc>
          <w:tcPr>
            <w:tcW w:w="560" w:type="pct"/>
            <w:vAlign w:val="center"/>
          </w:tcPr>
          <w:p>
            <w:pPr>
              <w:jc w:val="center"/>
              <w:rPr>
                <w:rFonts w:hint="default" w:ascii="Times New Roman" w:hAnsi="Times New Roman" w:eastAsia="宋体" w:cs="Times New Roman"/>
                <w:sz w:val="21"/>
                <w:szCs w:val="22"/>
                <w:lang w:eastAsia="zh-CN"/>
              </w:rPr>
            </w:pPr>
            <w:r>
              <w:rPr>
                <w:rFonts w:hint="eastAsia" w:cs="Times New Roman"/>
                <w:color w:val="000000"/>
                <w:sz w:val="22"/>
                <w:u w:color="auto"/>
                <w:lang w:val="en-US" w:eastAsia="zh-CN"/>
              </w:rPr>
              <w:t>-</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90.48%</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英语</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17.07%</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41.46%</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31.71%</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4.88%</w:t>
            </w:r>
          </w:p>
        </w:tc>
        <w:tc>
          <w:tcPr>
            <w:tcW w:w="560" w:type="pct"/>
            <w:shd w:val="clear" w:color="auto" w:fill="C7E2FA"/>
            <w:vAlign w:val="center"/>
          </w:tcPr>
          <w:p>
            <w:pPr>
              <w:jc w:val="center"/>
              <w:rPr>
                <w:rFonts w:hint="eastAsia" w:ascii="Times New Roman" w:hAnsi="Times New Roman" w:eastAsia="宋体" w:cs="Times New Roman"/>
                <w:sz w:val="21"/>
                <w:szCs w:val="22"/>
                <w:lang w:eastAsia="zh-CN"/>
              </w:rPr>
            </w:pPr>
            <w:r>
              <w:rPr>
                <w:rFonts w:hint="default" w:ascii="Times New Roman" w:hAnsi="Times New Roman" w:eastAsia="宋体" w:cs="Times New Roman"/>
                <w:color w:val="000000"/>
                <w:sz w:val="22"/>
                <w:u w:color="auto"/>
              </w:rPr>
              <w:t>4.88%</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90.24%</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化学</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21.57%</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29.41%</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39.22%</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7.84%</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1.96%</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90.2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体育教育</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33.33%</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26.19%</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28.57%</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4.76%</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7.14%</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88.1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计算机科学与技术</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21.95%</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36.59%</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29.27%</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9.76%</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2.44%</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87.8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经济学</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20.83%</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16.67%</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8.33%</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4.17%</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电子科学与技术</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30.43%</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21.74%</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34.78%</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4.35%</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86.96%</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24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机械工艺技术</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20.69%</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24.14%</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41.38%</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3.45%</w:t>
            </w:r>
          </w:p>
        </w:tc>
        <w:tc>
          <w:tcPr>
            <w:tcW w:w="560"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10.34%</w:t>
            </w:r>
          </w:p>
        </w:tc>
        <w:tc>
          <w:tcPr>
            <w:tcW w:w="561"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86.21%</w:t>
            </w:r>
          </w:p>
        </w:tc>
        <w:tc>
          <w:tcPr>
            <w:tcW w:w="394"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网络工程</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22.73%</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36.36%</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9.09%</w:t>
            </w:r>
          </w:p>
        </w:tc>
        <w:tc>
          <w:tcPr>
            <w:tcW w:w="56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6.82%</w:t>
            </w:r>
          </w:p>
        </w:tc>
        <w:tc>
          <w:tcPr>
            <w:tcW w:w="56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84.09%</w:t>
            </w:r>
          </w:p>
        </w:tc>
        <w:tc>
          <w:tcPr>
            <w:tcW w:w="394"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3.59</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针对就业岗位不适应的毕业生进一步分析不适应的原因发现：46.74%的毕业生认为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其他</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，26.09%的毕业生认为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工作量大</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502150" cy="2904490"/>
            <wp:effectExtent l="0" t="0" r="12700" b="10160"/>
            <wp:docPr id="30"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图5-7  2023届毕业生岗位不适应原因分布（单位：%）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44"/>
        </w:numPr>
        <w:shd w:val="clear" w:color="auto" w:fill="FFFFFF"/>
        <w:spacing w:before="15" w:after="15" w:line="360" w:lineRule="auto"/>
        <w:jc w:val="left"/>
        <w:outlineLvl w:val="1"/>
        <w:rPr>
          <w:rFonts w:hint="default" w:ascii="Times New Roman" w:hAnsi="Times New Roman" w:cs="Times New Roman"/>
        </w:rPr>
      </w:pPr>
      <w:bookmarkStart w:id="60" w:name="_Toc9080"/>
      <w:r>
        <w:rPr>
          <w:rFonts w:hint="default" w:ascii="Times New Roman" w:hAnsi="Times New Roman" w:eastAsia="黑体" w:cs="Times New Roman"/>
          <w:b/>
          <w:color w:val="0F6FC6"/>
          <w:sz w:val="30"/>
          <w:u w:color="auto"/>
        </w:rPr>
        <w:t>五、工作胜任度</w:t>
      </w:r>
      <w:bookmarkEnd w:id="6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工作胜任度是指毕业生所拥有的职业技能、专业知识等能否胜任目前的工作，一定程度上反映着人才培养目标的实现程度，为学校人才培养模式的改进提供参考意见。</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2023届毕业生目前所从事的工作胜任度为96.25%，绝大多数毕业生可以适应所从事的工作。</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548505" cy="2302510"/>
            <wp:effectExtent l="0" t="0" r="4445" b="2540"/>
            <wp:docPr id="3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图5-8  2023届毕业生胜任度</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的工作胜任度分布如下：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表5-9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毕业生工作胜任度分布</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1990"/>
        <w:gridCol w:w="1046"/>
        <w:gridCol w:w="1046"/>
        <w:gridCol w:w="1046"/>
        <w:gridCol w:w="1046"/>
        <w:gridCol w:w="1046"/>
        <w:gridCol w:w="1050"/>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10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58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很胜任</w:t>
            </w:r>
          </w:p>
        </w:tc>
        <w:tc>
          <w:tcPr>
            <w:tcW w:w="58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胜任</w:t>
            </w:r>
          </w:p>
        </w:tc>
        <w:tc>
          <w:tcPr>
            <w:tcW w:w="58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胜任</w:t>
            </w:r>
          </w:p>
        </w:tc>
        <w:tc>
          <w:tcPr>
            <w:tcW w:w="58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不胜任</w:t>
            </w:r>
          </w:p>
        </w:tc>
        <w:tc>
          <w:tcPr>
            <w:tcW w:w="58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胜任</w:t>
            </w:r>
          </w:p>
        </w:tc>
        <w:tc>
          <w:tcPr>
            <w:tcW w:w="583" w:type="pct"/>
            <w:shd w:val="clear" w:color="auto" w:fill="0F6FC6"/>
            <w:vAlign w:val="center"/>
          </w:tcPr>
          <w:p>
            <w:pPr>
              <w:jc w:val="center"/>
              <w:rPr>
                <w:rFonts w:hint="default" w:ascii="Times New Roman" w:hAnsi="Times New Roman" w:cs="Times New Roman"/>
              </w:rPr>
            </w:pPr>
            <w:r>
              <w:rPr>
                <w:rFonts w:hint="eastAsia" w:cs="Times New Roman"/>
                <w:b/>
                <w:color w:val="FFFFFF"/>
                <w:sz w:val="22"/>
                <w:u w:color="auto"/>
                <w:lang w:val="en-US" w:eastAsia="zh-CN"/>
              </w:rPr>
              <w:t>胜任</w:t>
            </w:r>
            <w:r>
              <w:rPr>
                <w:rFonts w:hint="default" w:ascii="Times New Roman" w:hAnsi="Times New Roman" w:eastAsia="宋体" w:cs="Times New Roman"/>
                <w:b/>
                <w:color w:val="FFFFFF"/>
                <w:sz w:val="22"/>
                <w:u w:color="auto"/>
              </w:rPr>
              <w:t>度</w:t>
            </w:r>
          </w:p>
        </w:tc>
        <w:tc>
          <w:tcPr>
            <w:tcW w:w="40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26.32%</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57.89%</w:t>
            </w:r>
          </w:p>
        </w:tc>
        <w:tc>
          <w:tcPr>
            <w:tcW w:w="581"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1" w:type="pct"/>
            <w:vAlign w:val="center"/>
          </w:tcPr>
          <w:p>
            <w:pPr>
              <w:jc w:val="center"/>
              <w:rPr>
                <w:rFonts w:hint="default" w:cs="Times New Roman"/>
                <w:color w:val="000000"/>
                <w:sz w:val="22"/>
                <w:u w:color="auto"/>
                <w:lang w:val="en-US" w:eastAsia="zh-CN"/>
              </w:rPr>
            </w:pPr>
            <w:r>
              <w:rPr>
                <w:rFonts w:hint="eastAsia" w:cs="Times New Roman"/>
                <w:color w:val="000000"/>
                <w:sz w:val="22"/>
                <w:u w:color="auto"/>
                <w:lang w:val="en-US" w:eastAsia="zh-CN"/>
              </w:rPr>
              <w:t>-</w:t>
            </w:r>
          </w:p>
        </w:tc>
        <w:tc>
          <w:tcPr>
            <w:tcW w:w="5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45.45%</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8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8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99.0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25.42%</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45.76%</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27.12%</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1.69%</w:t>
            </w:r>
          </w:p>
        </w:tc>
        <w:tc>
          <w:tcPr>
            <w:tcW w:w="581"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4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32.48%</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37.61%</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28.21%</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0.85%</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0.85%</w:t>
            </w:r>
          </w:p>
        </w:tc>
        <w:tc>
          <w:tcPr>
            <w:tcW w:w="5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98.29%</w:t>
            </w:r>
          </w:p>
        </w:tc>
        <w:tc>
          <w:tcPr>
            <w:tcW w:w="4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24.16%</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34.23%</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39.6</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2.01%</w:t>
            </w:r>
          </w:p>
        </w:tc>
        <w:tc>
          <w:tcPr>
            <w:tcW w:w="58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97.99%</w:t>
            </w:r>
          </w:p>
        </w:tc>
        <w:tc>
          <w:tcPr>
            <w:tcW w:w="4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31.63%</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43.88%</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22.45%</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2.04%</w:t>
            </w:r>
          </w:p>
        </w:tc>
        <w:tc>
          <w:tcPr>
            <w:tcW w:w="581"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c>
          <w:tcPr>
            <w:tcW w:w="4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20.12%</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38.46%</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38.46%</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2.37%</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0.59%</w:t>
            </w:r>
          </w:p>
        </w:tc>
        <w:tc>
          <w:tcPr>
            <w:tcW w:w="5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97.04%</w:t>
            </w:r>
          </w:p>
        </w:tc>
        <w:tc>
          <w:tcPr>
            <w:tcW w:w="4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20.98%</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41.26%</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33.57%</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28.99%</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34.78%</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31.88%</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1.45%</w:t>
            </w:r>
          </w:p>
        </w:tc>
        <w:tc>
          <w:tcPr>
            <w:tcW w:w="5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95.65%</w:t>
            </w:r>
          </w:p>
        </w:tc>
        <w:tc>
          <w:tcPr>
            <w:tcW w:w="4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22.33%</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31.07%</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41.75%</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2.91%</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1.94%</w:t>
            </w:r>
          </w:p>
        </w:tc>
        <w:tc>
          <w:tcPr>
            <w:tcW w:w="5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95.15%</w:t>
            </w:r>
          </w:p>
        </w:tc>
        <w:tc>
          <w:tcPr>
            <w:tcW w:w="4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30.86%</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1.23%</w:t>
            </w:r>
          </w:p>
        </w:tc>
        <w:tc>
          <w:tcPr>
            <w:tcW w:w="5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95.06%</w:t>
            </w:r>
          </w:p>
        </w:tc>
        <w:tc>
          <w:tcPr>
            <w:tcW w:w="4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36.54%</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30.77%</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26.92%</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1.92%</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3.85%</w:t>
            </w:r>
          </w:p>
        </w:tc>
        <w:tc>
          <w:tcPr>
            <w:tcW w:w="5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4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25.76%</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34.85%</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4.55%</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1.52%</w:t>
            </w:r>
          </w:p>
        </w:tc>
        <w:tc>
          <w:tcPr>
            <w:tcW w:w="5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c>
          <w:tcPr>
            <w:tcW w:w="4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27.84%</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35.05%</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30.93%</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4.12%</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w:t>
            </w:r>
          </w:p>
        </w:tc>
        <w:tc>
          <w:tcPr>
            <w:tcW w:w="5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4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33.66%</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4.95%</w:t>
            </w:r>
          </w:p>
        </w:tc>
        <w:tc>
          <w:tcPr>
            <w:tcW w:w="5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1.98%</w:t>
            </w:r>
          </w:p>
        </w:tc>
        <w:tc>
          <w:tcPr>
            <w:tcW w:w="5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93.07%</w:t>
            </w:r>
          </w:p>
        </w:tc>
        <w:tc>
          <w:tcPr>
            <w:tcW w:w="4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23.68%</w:t>
            </w:r>
          </w:p>
        </w:tc>
        <w:tc>
          <w:tcPr>
            <w:tcW w:w="58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23.68%</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42.11%</w:t>
            </w:r>
          </w:p>
        </w:tc>
        <w:tc>
          <w:tcPr>
            <w:tcW w:w="5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8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5.26%</w:t>
            </w:r>
          </w:p>
        </w:tc>
        <w:tc>
          <w:tcPr>
            <w:tcW w:w="5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89.47%</w:t>
            </w:r>
          </w:p>
        </w:tc>
        <w:tc>
          <w:tcPr>
            <w:tcW w:w="4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3.55</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各专业的工作胜任度分布如下：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表5-10  2023届各专业毕业生工作胜任度分布</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695"/>
        <w:gridCol w:w="917"/>
        <w:gridCol w:w="917"/>
        <w:gridCol w:w="917"/>
        <w:gridCol w:w="917"/>
        <w:gridCol w:w="917"/>
        <w:gridCol w:w="1030"/>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49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509"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很胜任</w:t>
            </w:r>
          </w:p>
        </w:tc>
        <w:tc>
          <w:tcPr>
            <w:tcW w:w="509"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胜任</w:t>
            </w:r>
          </w:p>
        </w:tc>
        <w:tc>
          <w:tcPr>
            <w:tcW w:w="509"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胜任</w:t>
            </w:r>
          </w:p>
        </w:tc>
        <w:tc>
          <w:tcPr>
            <w:tcW w:w="509"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不胜任</w:t>
            </w:r>
          </w:p>
        </w:tc>
        <w:tc>
          <w:tcPr>
            <w:tcW w:w="509"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胜任</w:t>
            </w:r>
          </w:p>
        </w:tc>
        <w:tc>
          <w:tcPr>
            <w:tcW w:w="572" w:type="pct"/>
            <w:shd w:val="clear" w:color="auto" w:fill="0F6FC6"/>
            <w:vAlign w:val="center"/>
          </w:tcPr>
          <w:p>
            <w:pPr>
              <w:jc w:val="center"/>
              <w:rPr>
                <w:rFonts w:hint="default" w:ascii="Times New Roman" w:hAnsi="Times New Roman" w:cs="Times New Roman"/>
              </w:rPr>
            </w:pPr>
            <w:r>
              <w:rPr>
                <w:rFonts w:hint="eastAsia" w:cs="Times New Roman"/>
                <w:b/>
                <w:color w:val="FFFFFF"/>
                <w:sz w:val="22"/>
                <w:u w:color="auto"/>
                <w:lang w:val="en-US" w:eastAsia="zh-CN"/>
              </w:rPr>
              <w:t>胜任</w:t>
            </w:r>
            <w:r>
              <w:rPr>
                <w:rFonts w:hint="default" w:ascii="Times New Roman" w:hAnsi="Times New Roman" w:eastAsia="宋体" w:cs="Times New Roman"/>
                <w:b/>
                <w:color w:val="FFFFFF"/>
                <w:sz w:val="22"/>
                <w:u w:color="auto"/>
              </w:rPr>
              <w:t>度</w:t>
            </w:r>
          </w:p>
        </w:tc>
        <w:tc>
          <w:tcPr>
            <w:tcW w:w="38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31.58%</w:t>
            </w:r>
          </w:p>
        </w:tc>
        <w:tc>
          <w:tcPr>
            <w:tcW w:w="509" w:type="pct"/>
            <w:shd w:val="clear" w:color="auto" w:fill="C7E2FA"/>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31.58%</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509"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09" w:type="pct"/>
            <w:shd w:val="clear" w:color="auto" w:fill="C7E2FA"/>
            <w:vAlign w:val="center"/>
          </w:tcPr>
          <w:p>
            <w:pPr>
              <w:jc w:val="center"/>
              <w:rPr>
                <w:rFonts w:hint="default" w:cs="Times New Roman"/>
                <w:color w:val="000000"/>
                <w:sz w:val="22"/>
                <w:u w:color="auto"/>
                <w:lang w:val="en-US" w:eastAsia="zh-CN"/>
              </w:rPr>
            </w:pPr>
            <w:r>
              <w:rPr>
                <w:rFonts w:hint="eastAsia" w:cs="Times New Roman"/>
                <w:color w:val="000000"/>
                <w:sz w:val="22"/>
                <w:u w:color="auto"/>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40.19%</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32.71%</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11.11%</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55.56%</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31.91%</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29.79%</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26.32%</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57.89%</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45.45%</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23.53%</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35.29%</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41.18%</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39.47%</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44.74%</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56.25%</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18.75%</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43.24%</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21.62%</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35.14%</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26.32%</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63.16%</w:t>
            </w:r>
          </w:p>
        </w:tc>
        <w:tc>
          <w:tcPr>
            <w:tcW w:w="509"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9"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17.59%</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42.59%</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38.89%</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0.93%</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99.07%</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25.42%</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45.76%</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27.12%</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1.69%</w:t>
            </w:r>
          </w:p>
        </w:tc>
        <w:tc>
          <w:tcPr>
            <w:tcW w:w="509"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19.57%</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36.96%</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2.17%</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97.83%</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23.08%</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34.62%</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2.31%</w:t>
            </w:r>
          </w:p>
        </w:tc>
        <w:tc>
          <w:tcPr>
            <w:tcW w:w="509"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97.69%</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34.15%</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26.83%</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36.59%</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2.44%</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40.28%</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26.39%</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30.56%</w:t>
            </w:r>
          </w:p>
        </w:tc>
        <w:tc>
          <w:tcPr>
            <w:tcW w:w="509"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2.78%</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31.88%</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37.68%</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27.54%</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1.45%</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1.45%</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45.28%</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30.19%</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20.75%</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96.23%</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23.81%</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54.76%</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4.76%</w:t>
            </w:r>
          </w:p>
        </w:tc>
        <w:tc>
          <w:tcPr>
            <w:tcW w:w="509"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19.05%</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4.76%</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24.39%</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31.71%</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39.02%</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2.44%</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2.44%</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23.08%</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43.59%</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28.21%</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2.56%</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2.56%</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94.87%</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26.32%</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31.58%</w:t>
            </w:r>
          </w:p>
        </w:tc>
        <w:tc>
          <w:tcPr>
            <w:tcW w:w="509"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22.97%</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32.43%</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39.19%</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27.03%</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37.84%</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29.73%</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38.89%</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22.86%</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28.57%</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42.86%</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5.71%</w:t>
            </w:r>
          </w:p>
        </w:tc>
        <w:tc>
          <w:tcPr>
            <w:tcW w:w="509"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94.29%</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3.03%</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3.03%</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31.25%</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p>
        </w:tc>
        <w:tc>
          <w:tcPr>
            <w:tcW w:w="509"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26.67%</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46.67%</w:t>
            </w:r>
          </w:p>
        </w:tc>
        <w:tc>
          <w:tcPr>
            <w:tcW w:w="509"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6.67%</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93.33%</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24.14%</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20.69%</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48.28%</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35.71%</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28.57%</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28.57%</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4.76%</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25.45%</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43.64%</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23.64%</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5.45%</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1.82%</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92.73%</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27.45%</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31.37%</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7.84%</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92.16%</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38.89%</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19.44%</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8.33%</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91.67%</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20.83%</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20.83%</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8.33%</w:t>
            </w:r>
          </w:p>
        </w:tc>
        <w:tc>
          <w:tcPr>
            <w:tcW w:w="509"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91.67%</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09"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31.82%</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29.55%</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6.82%</w:t>
            </w:r>
          </w:p>
        </w:tc>
        <w:tc>
          <w:tcPr>
            <w:tcW w:w="50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4.55%</w:t>
            </w:r>
          </w:p>
        </w:tc>
        <w:tc>
          <w:tcPr>
            <w:tcW w:w="5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88.64%</w:t>
            </w:r>
          </w:p>
        </w:tc>
        <w:tc>
          <w:tcPr>
            <w:tcW w:w="3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9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26.09%</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21.74%</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39.13%</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w:t>
            </w:r>
          </w:p>
        </w:tc>
        <w:tc>
          <w:tcPr>
            <w:tcW w:w="5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86.96%</w:t>
            </w:r>
          </w:p>
        </w:tc>
        <w:tc>
          <w:tcPr>
            <w:tcW w:w="3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3.55</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45"/>
        </w:numPr>
        <w:shd w:val="clear" w:color="auto" w:fill="FFFFFF"/>
        <w:spacing w:before="15" w:after="15" w:line="360" w:lineRule="auto"/>
        <w:jc w:val="left"/>
        <w:outlineLvl w:val="1"/>
        <w:rPr>
          <w:rFonts w:hint="default" w:ascii="Times New Roman" w:hAnsi="Times New Roman" w:cs="Times New Roman"/>
        </w:rPr>
      </w:pPr>
      <w:bookmarkStart w:id="61" w:name="_Toc9045"/>
      <w:r>
        <w:rPr>
          <w:rFonts w:hint="default" w:ascii="Times New Roman" w:hAnsi="Times New Roman" w:eastAsia="黑体" w:cs="Times New Roman"/>
          <w:b/>
          <w:color w:val="0F6FC6"/>
          <w:sz w:val="30"/>
          <w:u w:color="auto"/>
        </w:rPr>
        <w:t>六、职业期待吻合度</w:t>
      </w:r>
      <w:bookmarkEnd w:id="6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调查了解毕业生目前工作与自身职业期待的吻合情况，其评价维度包括很不吻合、比较不吻合、基本吻合、比较吻合、很吻合；职业期待吻合度为选择</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很吻合</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比较吻合</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和</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基本吻合</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的人数占</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此题总人数</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的比例，另外针对毕业生的反馈分别赋予1-5分（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很不吻合</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很吻合</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=5分），计算其均值。具体内容如下所示。</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2023届毕业生目前所从事的工作与自身职业期待的吻合度为91.35%；可见目前已落实的工作整体比较符合自身的就业期望。</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566920" cy="2219325"/>
            <wp:effectExtent l="0" t="0" r="5080" b="9525"/>
            <wp:docPr id="32"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图5-9  2023届毕业生职业期待吻合度</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的职业期待吻合度分布如下：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表5-11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毕业生职业期待吻合度分布</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030"/>
        <w:gridCol w:w="1045"/>
        <w:gridCol w:w="1045"/>
        <w:gridCol w:w="1045"/>
        <w:gridCol w:w="1"/>
        <w:gridCol w:w="1044"/>
        <w:gridCol w:w="1045"/>
        <w:gridCol w:w="1045"/>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58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很吻合</w:t>
            </w:r>
          </w:p>
        </w:tc>
        <w:tc>
          <w:tcPr>
            <w:tcW w:w="58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吻合</w:t>
            </w:r>
          </w:p>
        </w:tc>
        <w:tc>
          <w:tcPr>
            <w:tcW w:w="581" w:type="pct"/>
            <w:gridSpan w:val="2"/>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吻合</w:t>
            </w:r>
          </w:p>
        </w:tc>
        <w:tc>
          <w:tcPr>
            <w:tcW w:w="58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不吻合</w:t>
            </w:r>
          </w:p>
        </w:tc>
        <w:tc>
          <w:tcPr>
            <w:tcW w:w="58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吻合</w:t>
            </w:r>
          </w:p>
        </w:tc>
        <w:tc>
          <w:tcPr>
            <w:tcW w:w="580" w:type="pct"/>
            <w:shd w:val="clear" w:color="auto" w:fill="0F6FC6"/>
            <w:vAlign w:val="center"/>
          </w:tcPr>
          <w:p>
            <w:pPr>
              <w:jc w:val="center"/>
              <w:rPr>
                <w:rFonts w:hint="default" w:ascii="Times New Roman" w:hAnsi="Times New Roman" w:cs="Times New Roman"/>
              </w:rPr>
            </w:pPr>
            <w:r>
              <w:rPr>
                <w:rFonts w:hint="eastAsia" w:cs="Times New Roman"/>
                <w:b/>
                <w:color w:val="FFFFFF"/>
                <w:sz w:val="22"/>
                <w:u w:color="auto"/>
                <w:lang w:val="en-US" w:eastAsia="zh-CN"/>
              </w:rPr>
              <w:t>吻合</w:t>
            </w:r>
            <w:r>
              <w:rPr>
                <w:rFonts w:hint="default" w:ascii="Times New Roman" w:hAnsi="Times New Roman" w:eastAsia="宋体" w:cs="Times New Roman"/>
                <w:b/>
                <w:color w:val="FFFFFF"/>
                <w:sz w:val="22"/>
                <w:u w:color="auto"/>
              </w:rPr>
              <w:t>度</w:t>
            </w:r>
          </w:p>
        </w:tc>
        <w:tc>
          <w:tcPr>
            <w:tcW w:w="38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30.61%</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37.76%</w:t>
            </w:r>
          </w:p>
        </w:tc>
        <w:tc>
          <w:tcPr>
            <w:tcW w:w="581" w:type="pct"/>
            <w:gridSpan w:val="2"/>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26.53%</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2.04%</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3.06%</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581" w:type="pct"/>
            <w:gridSpan w:val="2"/>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52.63%</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80"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32.92%</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26.34%</w:t>
            </w:r>
          </w:p>
        </w:tc>
        <w:tc>
          <w:tcPr>
            <w:tcW w:w="581" w:type="pct"/>
            <w:gridSpan w:val="2"/>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35.39%</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4.53%</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0.82%</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94.65%</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36.75%</w:t>
            </w:r>
          </w:p>
        </w:tc>
        <w:tc>
          <w:tcPr>
            <w:tcW w:w="581" w:type="pct"/>
            <w:gridSpan w:val="2"/>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35.04%</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4.27%</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1.71%</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94.02%</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18.79%</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28.86%</w:t>
            </w:r>
          </w:p>
        </w:tc>
        <w:tc>
          <w:tcPr>
            <w:tcW w:w="581" w:type="pct"/>
            <w:gridSpan w:val="2"/>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45.64%</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5.37%</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1.34%</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93.29%</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30.77%</w:t>
            </w:r>
          </w:p>
        </w:tc>
        <w:tc>
          <w:tcPr>
            <w:tcW w:w="581" w:type="pct"/>
            <w:gridSpan w:val="2"/>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44.06%</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93.01%</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23.68%</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81" w:type="pct"/>
            <w:gridSpan w:val="2"/>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47.37%</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w:t>
            </w:r>
          </w:p>
        </w:tc>
        <w:tc>
          <w:tcPr>
            <w:tcW w:w="580"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92.11%</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gridSpan w:val="2"/>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13.02%</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gridSpan w:val="2"/>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49.11%</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5.33%</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4.14%</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90.53%</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21.78%</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1" w:type="pct"/>
            <w:gridSpan w:val="2"/>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38.61%</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5.94%</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3.96%</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20.34%</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23.73%</w:t>
            </w:r>
          </w:p>
        </w:tc>
        <w:tc>
          <w:tcPr>
            <w:tcW w:w="581" w:type="pct"/>
            <w:gridSpan w:val="2"/>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45.76%</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6.78%</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3.39%</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89.83%</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25.77%</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27.84%</w:t>
            </w:r>
          </w:p>
        </w:tc>
        <w:tc>
          <w:tcPr>
            <w:tcW w:w="581" w:type="pct"/>
            <w:gridSpan w:val="2"/>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36.08%</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8.25%</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89.69%</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21.36%</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22.33%</w:t>
            </w:r>
          </w:p>
        </w:tc>
        <w:tc>
          <w:tcPr>
            <w:tcW w:w="581" w:type="pct"/>
            <w:gridSpan w:val="2"/>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45.63%</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89.32%</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21.15%</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36.54%</w:t>
            </w:r>
          </w:p>
        </w:tc>
        <w:tc>
          <w:tcPr>
            <w:tcW w:w="581" w:type="pct"/>
            <w:gridSpan w:val="2"/>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30.77%</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1.92%</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88.46%</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14.49%</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28.99%</w:t>
            </w:r>
          </w:p>
        </w:tc>
        <w:tc>
          <w:tcPr>
            <w:tcW w:w="581" w:type="pct"/>
            <w:gridSpan w:val="2"/>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42.03%</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85.51%</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21.21%</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21.21%</w:t>
            </w:r>
          </w:p>
        </w:tc>
        <w:tc>
          <w:tcPr>
            <w:tcW w:w="581" w:type="pct"/>
            <w:gridSpan w:val="2"/>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37.88%</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15.15%</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4.55%</w:t>
            </w:r>
          </w:p>
        </w:tc>
        <w:tc>
          <w:tcPr>
            <w:tcW w:w="58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8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18.18%</w:t>
            </w:r>
          </w:p>
        </w:tc>
        <w:tc>
          <w:tcPr>
            <w:tcW w:w="580" w:type="pct"/>
            <w:gridSpan w:val="2"/>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18.18%</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8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72.73%</w:t>
            </w:r>
          </w:p>
        </w:tc>
        <w:tc>
          <w:tcPr>
            <w:tcW w:w="38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3.55</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各专业的职业期待吻合度分布如下：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表5-12  2023届各专业毕业生职业期待吻合度分布</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666"/>
        <w:gridCol w:w="908"/>
        <w:gridCol w:w="908"/>
        <w:gridCol w:w="908"/>
        <w:gridCol w:w="908"/>
        <w:gridCol w:w="908"/>
        <w:gridCol w:w="1071"/>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48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50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很吻合</w:t>
            </w:r>
          </w:p>
        </w:tc>
        <w:tc>
          <w:tcPr>
            <w:tcW w:w="504"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吻合</w:t>
            </w:r>
          </w:p>
        </w:tc>
        <w:tc>
          <w:tcPr>
            <w:tcW w:w="504"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吻合</w:t>
            </w:r>
          </w:p>
        </w:tc>
        <w:tc>
          <w:tcPr>
            <w:tcW w:w="504"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不吻合</w:t>
            </w:r>
          </w:p>
        </w:tc>
        <w:tc>
          <w:tcPr>
            <w:tcW w:w="504"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吻合</w:t>
            </w:r>
          </w:p>
        </w:tc>
        <w:tc>
          <w:tcPr>
            <w:tcW w:w="595" w:type="pct"/>
            <w:shd w:val="clear" w:color="auto" w:fill="0F6FC6"/>
            <w:vAlign w:val="center"/>
          </w:tcPr>
          <w:p>
            <w:pPr>
              <w:jc w:val="center"/>
              <w:rPr>
                <w:rFonts w:hint="default" w:ascii="Times New Roman" w:hAnsi="Times New Roman" w:cs="Times New Roman"/>
              </w:rPr>
            </w:pPr>
            <w:r>
              <w:rPr>
                <w:rFonts w:hint="eastAsia" w:cs="Times New Roman"/>
                <w:b/>
                <w:color w:val="FFFFFF"/>
                <w:sz w:val="22"/>
                <w:u w:color="auto"/>
                <w:lang w:val="en-US" w:eastAsia="zh-CN"/>
              </w:rPr>
              <w:t>吻合</w:t>
            </w:r>
            <w:r>
              <w:rPr>
                <w:rFonts w:hint="default" w:ascii="Times New Roman" w:hAnsi="Times New Roman" w:eastAsia="宋体" w:cs="Times New Roman"/>
                <w:b/>
                <w:color w:val="FFFFFF"/>
                <w:sz w:val="22"/>
                <w:u w:color="auto"/>
              </w:rPr>
              <w:t>度</w:t>
            </w:r>
          </w:p>
        </w:tc>
        <w:tc>
          <w:tcPr>
            <w:tcW w:w="4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04" w:type="pct"/>
            <w:shd w:val="clear" w:color="auto" w:fill="C7E2FA"/>
            <w:vAlign w:val="center"/>
          </w:tcPr>
          <w:p>
            <w:pPr>
              <w:jc w:val="center"/>
              <w:rPr>
                <w:rFonts w:hint="default" w:cs="Times New Roman"/>
                <w:color w:val="000000"/>
                <w:sz w:val="22"/>
                <w:u w:color="auto"/>
                <w:lang w:val="en-US" w:eastAsia="zh-CN"/>
              </w:rPr>
            </w:pPr>
            <w:r>
              <w:rPr>
                <w:rFonts w:hint="eastAsia" w:cs="Times New Roman"/>
                <w:color w:val="000000"/>
                <w:sz w:val="22"/>
                <w:u w:color="auto"/>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504"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21.28%</w:t>
            </w:r>
          </w:p>
        </w:tc>
        <w:tc>
          <w:tcPr>
            <w:tcW w:w="504"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36.17%</w:t>
            </w:r>
          </w:p>
        </w:tc>
        <w:tc>
          <w:tcPr>
            <w:tcW w:w="504"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42.55%</w:t>
            </w:r>
          </w:p>
        </w:tc>
        <w:tc>
          <w:tcPr>
            <w:tcW w:w="504"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4"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4"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504"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29.41%</w:t>
            </w:r>
          </w:p>
        </w:tc>
        <w:tc>
          <w:tcPr>
            <w:tcW w:w="504"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29.41%</w:t>
            </w:r>
          </w:p>
        </w:tc>
        <w:tc>
          <w:tcPr>
            <w:tcW w:w="504"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41.18%</w:t>
            </w:r>
          </w:p>
        </w:tc>
        <w:tc>
          <w:tcPr>
            <w:tcW w:w="504"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4"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4"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504"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504"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20.83%</w:t>
            </w:r>
          </w:p>
        </w:tc>
        <w:tc>
          <w:tcPr>
            <w:tcW w:w="504"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4" w:type="pct"/>
            <w:shd w:val="clear" w:color="auto" w:fill="auto"/>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31.58%</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31.58%</w:t>
            </w:r>
          </w:p>
        </w:tc>
        <w:tc>
          <w:tcPr>
            <w:tcW w:w="504"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04"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34.72%</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0%</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1.39%</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1.39%</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30.19%</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22.64%</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96.23%</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26.83%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31.71%</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36.59%</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4.88%</w:t>
            </w:r>
          </w:p>
        </w:tc>
        <w:tc>
          <w:tcPr>
            <w:tcW w:w="504"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52.63%</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04"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32.43%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29.73%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32.43%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38.89%</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04"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34.58%</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35.51%</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5.61%</w:t>
            </w:r>
          </w:p>
        </w:tc>
        <w:tc>
          <w:tcPr>
            <w:tcW w:w="504"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94.39%</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25.71%</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48.57%</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5.71%</w:t>
            </w:r>
          </w:p>
        </w:tc>
        <w:tc>
          <w:tcPr>
            <w:tcW w:w="504"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94.29%</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18.46%</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28.46%</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46.92%</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6.15%</w:t>
            </w:r>
          </w:p>
        </w:tc>
        <w:tc>
          <w:tcPr>
            <w:tcW w:w="504"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93.85%</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31.25%</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p>
        </w:tc>
        <w:tc>
          <w:tcPr>
            <w:tcW w:w="504"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53.33%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6.67%</w:t>
            </w:r>
          </w:p>
        </w:tc>
        <w:tc>
          <w:tcPr>
            <w:tcW w:w="504"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93.33%</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20.69%</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17.24%</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55.17%</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28.57%</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45.24%</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19.05%</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4.76%</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28.95%</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57.89%</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92.11%</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16.22%</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27.03%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48.65%</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5.41%</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91.89%</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26.09%</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21.74%</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43.48%</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21.82%</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30.91%</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38.18%</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7.27%</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1.82%</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54.55%</w:t>
            </w:r>
          </w:p>
        </w:tc>
        <w:tc>
          <w:tcPr>
            <w:tcW w:w="504"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28.57%</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52.38%</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4.76%</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4.76%</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23.19%</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36.23%</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30.43%</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7.25%</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89.86%</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20.34%</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23.73%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45.76%</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6.78%</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3.39%</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89.83%</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31.58%</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504"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89.47%</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31.58%</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89.47%</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24.32%</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22.97%</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41.89%</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8.11%</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89.19%</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13.04%</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28.26%</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47.83%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6.52%</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89.13%</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11.11%</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55.56%</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88.89%</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27.45%</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23.53%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37.25%</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11.76%</w:t>
            </w:r>
          </w:p>
        </w:tc>
        <w:tc>
          <w:tcPr>
            <w:tcW w:w="504"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88.24%</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11.11%</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30.56%</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7.41%</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4.63%</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87.96%</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6.06%</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6.06%</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87.88%</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15.91%</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34.09%</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6.82%</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6.82%</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86.36%</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21.43%</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30.95%</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85.71%</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12.82%</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28.21%</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43.59%</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5.13%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10.26%</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84.62%</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27.78%</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504"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83.33%</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17.07%</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29.27%</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36.59%</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7.32%</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82.93%</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13.33%</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6.67%</w:t>
            </w:r>
          </w:p>
        </w:tc>
        <w:tc>
          <w:tcPr>
            <w:tcW w:w="59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73.33%</w:t>
            </w:r>
          </w:p>
        </w:tc>
        <w:tc>
          <w:tcPr>
            <w:tcW w:w="4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59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72.73%</w:t>
            </w:r>
          </w:p>
        </w:tc>
        <w:tc>
          <w:tcPr>
            <w:tcW w:w="4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3.55</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针对职业期待不吻合的毕业生进一步分析不吻合的原因发现：62.0</w:t>
      </w:r>
      <w:r>
        <w:rPr>
          <w:rFonts w:hint="eastAsia"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%的毕业生认为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不符合我的职业发展规划</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，29.33%的毕业生认为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不符合我的兴趣爱好</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672965" cy="2500630"/>
            <wp:effectExtent l="0" t="0" r="13335" b="13970"/>
            <wp:docPr id="33"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图5-10  2023届毕业生职业期待不吻合原因分布（单位：%）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46"/>
        </w:numPr>
        <w:shd w:val="clear" w:color="auto" w:fill="FFFFFF"/>
        <w:spacing w:before="15" w:after="15" w:line="360" w:lineRule="auto"/>
        <w:jc w:val="left"/>
        <w:outlineLvl w:val="1"/>
        <w:rPr>
          <w:rFonts w:hint="default" w:ascii="Times New Roman" w:hAnsi="Times New Roman" w:cs="Times New Roman"/>
        </w:rPr>
      </w:pPr>
      <w:bookmarkStart w:id="62" w:name="_Toc1550"/>
      <w:r>
        <w:rPr>
          <w:rFonts w:hint="default" w:ascii="Times New Roman" w:hAnsi="Times New Roman" w:eastAsia="黑体" w:cs="Times New Roman"/>
          <w:b/>
          <w:color w:val="0F6FC6"/>
          <w:sz w:val="30"/>
          <w:u w:color="auto"/>
        </w:rPr>
        <w:t>七、工作稳定性</w:t>
      </w:r>
      <w:bookmarkEnd w:id="6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工作稳定性是衡量毕业至今，毕业生更换工作单位的情况；离职率=（更换工作单位在1次及以上的人数/更换和未更换工作单位的总人数）*100.00%，稳定率=100.00%-离职率。其中，离职率越高，则其工作稳定性相对较差；反之，离职率越低，则其工作稳定性相对较高。</w:t>
      </w:r>
    </w:p>
    <w:p>
      <w:pPr>
        <w:numPr>
          <w:ilvl w:val="2"/>
          <w:numId w:val="47"/>
        </w:numPr>
        <w:shd w:val="clear" w:color="auto" w:fill="FFFFFF"/>
        <w:spacing w:before="15" w:after="15" w:line="360" w:lineRule="auto"/>
        <w:jc w:val="left"/>
        <w:outlineLvl w:val="2"/>
        <w:rPr>
          <w:rFonts w:hint="default" w:ascii="Times New Roman" w:hAnsi="Times New Roman" w:cs="Times New Roman"/>
        </w:rPr>
      </w:pPr>
      <w:bookmarkStart w:id="63" w:name="_Toc14374"/>
      <w:r>
        <w:rPr>
          <w:rFonts w:hint="default" w:ascii="Times New Roman" w:hAnsi="Times New Roman" w:eastAsia="黑体" w:cs="Times New Roman"/>
          <w:b/>
          <w:color w:val="0F6FC6"/>
          <w:sz w:val="28"/>
          <w:u w:color="auto"/>
        </w:rPr>
        <w:t>（一）工作稳定性</w:t>
      </w:r>
      <w:bookmarkEnd w:id="6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学校2023届毕业生的工作稳定性为83.33%，离职率为16.67%。较低的离职率表明毕业生换工作的意愿较低，一次就业质量处于较高水平。</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52620" cy="2305050"/>
            <wp:effectExtent l="0" t="0" r="5080" b="0"/>
            <wp:docPr id="34"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图5-11  2023届毕业生离职率</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的离职率分布如下：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表5-13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毕业生离职率分布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离职率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26.09%</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各专业的离职率分布如下：</w:t>
      </w:r>
    </w:p>
    <w:p>
      <w:pPr>
        <w:spacing w:line="360" w:lineRule="auto"/>
        <w:jc w:val="center"/>
        <w:rPr>
          <w:rFonts w:hint="default" w:ascii="Times New Roman" w:hAnsi="Times New Roman" w:eastAsia="宋体" w:cs="Times New Roman"/>
          <w:b/>
          <w:color w:val="0F6FC6"/>
          <w:sz w:val="21"/>
          <w:u w:color="auto"/>
        </w:rPr>
      </w:pP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表5-14  2023届各专业毕业生离职率分布</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离职率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2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2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35.29%</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针对有过离职的毕业生进一步分析离职的原因发现：36.33%的毕业生因为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发展前景有限</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，31.49%的毕业生因为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单位氛围不好</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19905" cy="3582670"/>
            <wp:effectExtent l="0" t="0" r="4445" b="17780"/>
            <wp:docPr id="35"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图5-12  2023届毕业生离职原因（单位：%）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48"/>
        </w:numPr>
        <w:shd w:val="clear" w:color="auto" w:fill="FFFFFF"/>
        <w:spacing w:before="15" w:after="15" w:line="360" w:lineRule="auto"/>
        <w:jc w:val="left"/>
        <w:outlineLvl w:val="2"/>
        <w:rPr>
          <w:rFonts w:hint="default" w:ascii="Times New Roman" w:hAnsi="Times New Roman" w:cs="Times New Roman"/>
        </w:rPr>
      </w:pPr>
      <w:bookmarkStart w:id="64" w:name="_Toc20355"/>
      <w:r>
        <w:rPr>
          <w:rFonts w:hint="default" w:ascii="Times New Roman" w:hAnsi="Times New Roman" w:eastAsia="黑体" w:cs="Times New Roman"/>
          <w:b/>
          <w:color w:val="0F6FC6"/>
          <w:sz w:val="28"/>
          <w:u w:color="auto"/>
        </w:rPr>
        <w:t>（二）预期工作稳定性</w:t>
      </w:r>
      <w:bookmarkEnd w:id="6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学校2023届毕业生中，预期在单位工作1-3年（含1年）的比例最高，为42.21%；其次是预期工作1年以内，占比为27.39%。</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49445" cy="1955800"/>
            <wp:effectExtent l="0" t="0" r="8255" b="6350"/>
            <wp:docPr id="36"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图5-13  2023届毕业生预期工作稳定性</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的预期工作稳定性分布如下：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表5-15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毕业生预期工作稳定性分布</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223"/>
        <w:gridCol w:w="1487"/>
        <w:gridCol w:w="2025"/>
        <w:gridCol w:w="1896"/>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blHeader/>
        </w:trPr>
        <w:tc>
          <w:tcPr>
            <w:tcW w:w="123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82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1年以内</w:t>
            </w:r>
          </w:p>
        </w:tc>
        <w:tc>
          <w:tcPr>
            <w:tcW w:w="112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1-3年（含1年）</w:t>
            </w:r>
          </w:p>
        </w:tc>
        <w:tc>
          <w:tcPr>
            <w:tcW w:w="105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3-5年（含3年）</w:t>
            </w:r>
          </w:p>
        </w:tc>
        <w:tc>
          <w:tcPr>
            <w:tcW w:w="76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5年及以上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8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11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c>
          <w:tcPr>
            <w:tcW w:w="10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c>
          <w:tcPr>
            <w:tcW w:w="7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8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35.05%</w:t>
            </w:r>
          </w:p>
        </w:tc>
        <w:tc>
          <w:tcPr>
            <w:tcW w:w="11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38.14%</w:t>
            </w:r>
          </w:p>
        </w:tc>
        <w:tc>
          <w:tcPr>
            <w:tcW w:w="10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7.22%</w:t>
            </w:r>
          </w:p>
        </w:tc>
        <w:tc>
          <w:tcPr>
            <w:tcW w:w="7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8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11.93%</w:t>
            </w:r>
          </w:p>
        </w:tc>
        <w:tc>
          <w:tcPr>
            <w:tcW w:w="11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26.34%</w:t>
            </w:r>
          </w:p>
        </w:tc>
        <w:tc>
          <w:tcPr>
            <w:tcW w:w="10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22.63%</w:t>
            </w:r>
          </w:p>
        </w:tc>
        <w:tc>
          <w:tcPr>
            <w:tcW w:w="7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8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30.20%</w:t>
            </w:r>
          </w:p>
        </w:tc>
        <w:tc>
          <w:tcPr>
            <w:tcW w:w="11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46.98%</w:t>
            </w:r>
          </w:p>
        </w:tc>
        <w:tc>
          <w:tcPr>
            <w:tcW w:w="10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w:t>
            </w:r>
          </w:p>
        </w:tc>
        <w:tc>
          <w:tcPr>
            <w:tcW w:w="7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8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23.67%</w:t>
            </w:r>
          </w:p>
        </w:tc>
        <w:tc>
          <w:tcPr>
            <w:tcW w:w="11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44.97%</w:t>
            </w:r>
          </w:p>
        </w:tc>
        <w:tc>
          <w:tcPr>
            <w:tcW w:w="10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13.61%</w:t>
            </w:r>
          </w:p>
        </w:tc>
        <w:tc>
          <w:tcPr>
            <w:tcW w:w="7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8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11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46.38%</w:t>
            </w:r>
          </w:p>
        </w:tc>
        <w:tc>
          <w:tcPr>
            <w:tcW w:w="10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10.14%</w:t>
            </w:r>
          </w:p>
        </w:tc>
        <w:tc>
          <w:tcPr>
            <w:tcW w:w="7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8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27.12%</w:t>
            </w:r>
          </w:p>
        </w:tc>
        <w:tc>
          <w:tcPr>
            <w:tcW w:w="11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33.90%</w:t>
            </w:r>
          </w:p>
        </w:tc>
        <w:tc>
          <w:tcPr>
            <w:tcW w:w="10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10.17%</w:t>
            </w:r>
          </w:p>
        </w:tc>
        <w:tc>
          <w:tcPr>
            <w:tcW w:w="7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8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38.46%</w:t>
            </w:r>
          </w:p>
        </w:tc>
        <w:tc>
          <w:tcPr>
            <w:tcW w:w="11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45.45%</w:t>
            </w:r>
          </w:p>
        </w:tc>
        <w:tc>
          <w:tcPr>
            <w:tcW w:w="10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4.90%</w:t>
            </w:r>
          </w:p>
        </w:tc>
        <w:tc>
          <w:tcPr>
            <w:tcW w:w="7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8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19.39%</w:t>
            </w:r>
          </w:p>
        </w:tc>
        <w:tc>
          <w:tcPr>
            <w:tcW w:w="11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43.88%</w:t>
            </w:r>
          </w:p>
        </w:tc>
        <w:tc>
          <w:tcPr>
            <w:tcW w:w="10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20.41%</w:t>
            </w:r>
          </w:p>
        </w:tc>
        <w:tc>
          <w:tcPr>
            <w:tcW w:w="7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8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31.07%</w:t>
            </w:r>
          </w:p>
        </w:tc>
        <w:tc>
          <w:tcPr>
            <w:tcW w:w="11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54.37%</w:t>
            </w:r>
          </w:p>
        </w:tc>
        <w:tc>
          <w:tcPr>
            <w:tcW w:w="10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4.85%</w:t>
            </w:r>
          </w:p>
        </w:tc>
        <w:tc>
          <w:tcPr>
            <w:tcW w:w="7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8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36.54%</w:t>
            </w:r>
          </w:p>
        </w:tc>
        <w:tc>
          <w:tcPr>
            <w:tcW w:w="11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36.54%</w:t>
            </w:r>
          </w:p>
        </w:tc>
        <w:tc>
          <w:tcPr>
            <w:tcW w:w="10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7.69%</w:t>
            </w:r>
          </w:p>
        </w:tc>
        <w:tc>
          <w:tcPr>
            <w:tcW w:w="7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8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30.30%</w:t>
            </w:r>
          </w:p>
        </w:tc>
        <w:tc>
          <w:tcPr>
            <w:tcW w:w="11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48.48%</w:t>
            </w:r>
          </w:p>
        </w:tc>
        <w:tc>
          <w:tcPr>
            <w:tcW w:w="10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6.06%</w:t>
            </w:r>
          </w:p>
        </w:tc>
        <w:tc>
          <w:tcPr>
            <w:tcW w:w="7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8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11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63.64%</w:t>
            </w:r>
          </w:p>
        </w:tc>
        <w:tc>
          <w:tcPr>
            <w:tcW w:w="10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760"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8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28.95%</w:t>
            </w:r>
          </w:p>
        </w:tc>
        <w:tc>
          <w:tcPr>
            <w:tcW w:w="11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42.11%</w:t>
            </w:r>
          </w:p>
        </w:tc>
        <w:tc>
          <w:tcPr>
            <w:tcW w:w="10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7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8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24.75%</w:t>
            </w:r>
          </w:p>
        </w:tc>
        <w:tc>
          <w:tcPr>
            <w:tcW w:w="11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44.55%</w:t>
            </w:r>
          </w:p>
        </w:tc>
        <w:tc>
          <w:tcPr>
            <w:tcW w:w="10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11.88%</w:t>
            </w:r>
          </w:p>
        </w:tc>
        <w:tc>
          <w:tcPr>
            <w:tcW w:w="7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8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27.35%</w:t>
            </w:r>
          </w:p>
        </w:tc>
        <w:tc>
          <w:tcPr>
            <w:tcW w:w="11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48.72%</w:t>
            </w:r>
          </w:p>
        </w:tc>
        <w:tc>
          <w:tcPr>
            <w:tcW w:w="10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14.53%</w:t>
            </w:r>
          </w:p>
        </w:tc>
        <w:tc>
          <w:tcPr>
            <w:tcW w:w="76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3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8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36.00%</w:t>
            </w:r>
          </w:p>
        </w:tc>
        <w:tc>
          <w:tcPr>
            <w:tcW w:w="11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39.00%</w:t>
            </w:r>
          </w:p>
        </w:tc>
        <w:tc>
          <w:tcPr>
            <w:tcW w:w="10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9.00%</w:t>
            </w:r>
          </w:p>
        </w:tc>
        <w:tc>
          <w:tcPr>
            <w:tcW w:w="76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16.00%</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各专业的预期工作稳定性分布如下：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表5-16  2023届各专业毕业生预期工作稳定性分布</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710"/>
        <w:gridCol w:w="1130"/>
        <w:gridCol w:w="1940"/>
        <w:gridCol w:w="190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50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62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1年以内</w:t>
            </w:r>
          </w:p>
        </w:tc>
        <w:tc>
          <w:tcPr>
            <w:tcW w:w="107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1-3年（含1年）</w:t>
            </w:r>
          </w:p>
        </w:tc>
        <w:tc>
          <w:tcPr>
            <w:tcW w:w="105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3-5年（含3年）</w:t>
            </w:r>
          </w:p>
        </w:tc>
        <w:tc>
          <w:tcPr>
            <w:tcW w:w="73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5年及以上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50.00%</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30.00%</w:t>
            </w:r>
          </w:p>
        </w:tc>
        <w:tc>
          <w:tcPr>
            <w:tcW w:w="1055"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45.45%</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40.00%</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42.11%</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28.95%</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41.30%</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47.83%</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2.17%</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37.50%</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50.00%</w:t>
            </w:r>
          </w:p>
        </w:tc>
        <w:tc>
          <w:tcPr>
            <w:tcW w:w="1055"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37.50%</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37.50%</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8.33%</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37.38%</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36.45%</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7.48%</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36.84%</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63.16%</w:t>
            </w:r>
          </w:p>
        </w:tc>
        <w:tc>
          <w:tcPr>
            <w:tcW w:w="1055"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733"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36.36%</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45.45%</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15.15%</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35.29%</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3.92%</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35.14%</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45.95%</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5.41%</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34.78%</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43.48%</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17.39%</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34.21%</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42.11%</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13.16%</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53.33%</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6.67%</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38.10%</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31.88%</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53.62%</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8.70%</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31.71%</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41.46%</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7.32%</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31.25%</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25.00%</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25.00%</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29.41%</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47.06%</w:t>
            </w:r>
          </w:p>
        </w:tc>
        <w:tc>
          <w:tcPr>
            <w:tcW w:w="1055"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29.23%</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44.62%</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10.77%</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28.57%</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42.86%</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4.76%</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28.21%</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61.54%</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5.13%</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28.00%</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60.00%</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27.12%</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33.90%</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10.17%</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27.03%</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43.24%</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16.22%</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26.83%</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48.78%</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12.20%</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25.00%</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45.45%</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15.91%</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24.00%</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52.00%</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72.22%</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733"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21.43%</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38.10%</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23.81%</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21.28%</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42.55%</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21.28%</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20.00%</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40.00%</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13.33%</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19.44%</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47.22%</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13.89%</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19.44%</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30.56%</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25.00%</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18.92%</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43.24%</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18.92%</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18.75%</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31.25%</w:t>
            </w:r>
          </w:p>
        </w:tc>
        <w:tc>
          <w:tcPr>
            <w:tcW w:w="1055"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81.82%</w:t>
            </w:r>
          </w:p>
        </w:tc>
        <w:tc>
          <w:tcPr>
            <w:tcW w:w="1055"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733"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63.64%</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733"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57.89%</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15.79%</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13.79%</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34.48%</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31.03%</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12.50%</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18.06%</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22.22%</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11.32%</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28.30%</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18.87%</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5.71%</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34.29%</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11.43%</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6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107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105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38.89%</w:t>
            </w:r>
          </w:p>
        </w:tc>
        <w:tc>
          <w:tcPr>
            <w:tcW w:w="73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6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107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78.95%</w:t>
            </w:r>
          </w:p>
        </w:tc>
        <w:tc>
          <w:tcPr>
            <w:tcW w:w="105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c>
          <w:tcPr>
            <w:tcW w:w="73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49"/>
        </w:numPr>
        <w:shd w:val="clear" w:color="auto" w:fill="FFFFFF"/>
        <w:spacing w:before="15" w:after="15" w:line="360" w:lineRule="auto"/>
        <w:jc w:val="left"/>
        <w:outlineLvl w:val="1"/>
        <w:rPr>
          <w:rFonts w:hint="default" w:ascii="Times New Roman" w:hAnsi="Times New Roman" w:cs="Times New Roman"/>
        </w:rPr>
      </w:pPr>
      <w:bookmarkStart w:id="65" w:name="_Toc2867"/>
      <w:r>
        <w:rPr>
          <w:rFonts w:hint="default" w:ascii="Times New Roman" w:hAnsi="Times New Roman" w:eastAsia="黑体" w:cs="Times New Roman"/>
          <w:b/>
          <w:color w:val="0F6FC6"/>
          <w:sz w:val="30"/>
          <w:u w:color="auto"/>
        </w:rPr>
        <w:t>八、社会保障度</w:t>
      </w:r>
      <w:bookmarkEnd w:id="6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社会保障度是指毕业生所在用人单位为毕业生提供的社会保障，社会保障度越高代表毕业生就业质量较好。</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2023届毕业生就业单位为毕业生提供的社会保障情况较为完善，</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五险一金外还提供其他保障和补贴</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占比有35.61%。</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20870" cy="1864360"/>
            <wp:effectExtent l="0" t="0" r="17780" b="2540"/>
            <wp:docPr id="37"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spacing w:line="360" w:lineRule="auto"/>
        <w:jc w:val="center"/>
        <w:rPr>
          <w:rFonts w:hint="default" w:ascii="Times New Roman" w:hAnsi="Times New Roman" w:cs="Times New Roman"/>
          <w:highlight w:val="yellow"/>
        </w:rPr>
      </w:pPr>
      <w:r>
        <w:rPr>
          <w:rFonts w:hint="default" w:ascii="Times New Roman" w:hAnsi="Times New Roman" w:eastAsia="宋体" w:cs="Times New Roman"/>
          <w:b/>
          <w:color w:val="0F6FC6"/>
          <w:sz w:val="21"/>
          <w:u w:color="auto"/>
        </w:rPr>
        <w:t>图5-14  2023届毕业生社会保障情况</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的社会保障度分布如下：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表5-17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毕业生社会保障情况分布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社会保障度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文化产业系</w:t>
            </w:r>
          </w:p>
        </w:tc>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信息技术与工程系</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92.54%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材料科学与工程系</w:t>
            </w:r>
          </w:p>
        </w:tc>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生物科学与技术系</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机械系</w:t>
            </w:r>
          </w:p>
        </w:tc>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体育系</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经济管理系</w:t>
            </w:r>
          </w:p>
        </w:tc>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旅游管理系</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外语系</w:t>
            </w:r>
          </w:p>
        </w:tc>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化学化工系</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马克思主义学院(筹)</w:t>
            </w:r>
          </w:p>
        </w:tc>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物理与电子工程系</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音乐系</w:t>
            </w:r>
          </w:p>
        </w:tc>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中文系</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数学系</w:t>
            </w:r>
          </w:p>
        </w:tc>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美术系</w:t>
            </w:r>
          </w:p>
        </w:tc>
        <w:tc>
          <w:tcPr>
            <w:tcW w:w="4501" w:type="dxa"/>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教育科学与技术系</w:t>
            </w:r>
          </w:p>
        </w:tc>
        <w:tc>
          <w:tcPr>
            <w:tcW w:w="450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57.33%</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各专业的社会保障度分布如下：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表5-18  2023届各专业毕业生社会保障情况分布</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社会保障度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数据科学与大数据技术</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文化产业管理</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环境科学与工程</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轨道交通信号与控制</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网络工程</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复合材料与工程</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经济学</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食品科学与工程</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生物技术</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计算机科学与技术</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物联网工程</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汽车服务工程</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网络与新媒体</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应用化学</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新闻学</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人力资源管理</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体育教育</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会展经济与管理</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电子科学与技术</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自动化</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英语</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机械工艺技术</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机械电子工程</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视觉传达设计</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信息与计算科学</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旅游管理</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生物科学</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财务管理</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酒店管理</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机械设计制造及其自动化</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思想政治教育</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武术与民族传统体育</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舞蹈学</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音乐学</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学前教育</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化学</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翻译</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数学与应用数学</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环境设计</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汉语国际教育</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汉语言文学</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小学教育</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书法学</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美术学</w:t>
            </w:r>
          </w:p>
        </w:tc>
        <w:tc>
          <w:tcPr>
            <w:tcW w:w="2500" w:type="pct"/>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rPr>
            </w:pPr>
            <w:r>
              <w:rPr>
                <w:rFonts w:hint="eastAsia" w:cs="Times New Roman"/>
                <w:i w:val="0"/>
                <w:iCs w:val="0"/>
                <w:color w:val="000000"/>
                <w:kern w:val="0"/>
                <w:sz w:val="22"/>
                <w:szCs w:val="22"/>
                <w:u w:val="none"/>
                <w:lang w:val="en-US" w:eastAsia="zh-CN" w:bidi="ar"/>
              </w:rPr>
              <w:t>物理学</w:t>
            </w:r>
          </w:p>
        </w:tc>
        <w:tc>
          <w:tcPr>
            <w:tcW w:w="250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lang w:eastAsia="zh-CN"/>
              </w:rPr>
            </w:pPr>
            <w:r>
              <w:rPr>
                <w:rFonts w:hint="eastAsia" w:cs="Times New Roman"/>
                <w:i w:val="0"/>
                <w:iCs w:val="0"/>
                <w:color w:val="000000"/>
                <w:kern w:val="0"/>
                <w:sz w:val="22"/>
                <w:szCs w:val="22"/>
                <w:u w:val="none"/>
                <w:lang w:val="en-US" w:eastAsia="zh-CN" w:bidi="ar"/>
              </w:rPr>
              <w:t>25.00%</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50"/>
        </w:numPr>
        <w:shd w:val="clear" w:color="auto" w:fill="FFFFFF"/>
        <w:spacing w:before="15" w:after="15" w:line="360" w:lineRule="auto"/>
        <w:jc w:val="left"/>
        <w:outlineLvl w:val="1"/>
        <w:rPr>
          <w:rFonts w:hint="default" w:ascii="Times New Roman" w:hAnsi="Times New Roman" w:cs="Times New Roman"/>
        </w:rPr>
      </w:pPr>
      <w:bookmarkStart w:id="66" w:name="_Toc29372"/>
      <w:r>
        <w:rPr>
          <w:rFonts w:hint="default" w:ascii="Times New Roman" w:hAnsi="Times New Roman" w:eastAsia="黑体" w:cs="Times New Roman"/>
          <w:b/>
          <w:color w:val="0F6FC6"/>
          <w:sz w:val="30"/>
          <w:u w:color="auto"/>
        </w:rPr>
        <w:t>九、求职分析</w:t>
      </w:r>
      <w:bookmarkEnd w:id="66"/>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择业求职是大学生走向社会的开始，是独立走向生活的第一步。这不仅仅是谋取一份工作的过程，也是适应社会、进行自我社会化、进一步健全人格和提高心理素质的过程；不断克服内部障碍，提高自身素质，不断适应外部环境，满足社会需求，才能最终实现职业目标。</w:t>
      </w:r>
    </w:p>
    <w:p>
      <w:pPr>
        <w:numPr>
          <w:ilvl w:val="2"/>
          <w:numId w:val="51"/>
        </w:numPr>
        <w:shd w:val="clear" w:color="auto" w:fill="FFFFFF"/>
        <w:spacing w:before="15" w:after="15" w:line="360" w:lineRule="auto"/>
        <w:jc w:val="left"/>
        <w:outlineLvl w:val="2"/>
        <w:rPr>
          <w:rFonts w:hint="default" w:ascii="Times New Roman" w:hAnsi="Times New Roman" w:cs="Times New Roman"/>
        </w:rPr>
      </w:pPr>
      <w:bookmarkStart w:id="67" w:name="_Toc19586"/>
      <w:r>
        <w:rPr>
          <w:rFonts w:hint="default" w:ascii="Times New Roman" w:hAnsi="Times New Roman" w:eastAsia="黑体" w:cs="Times New Roman"/>
          <w:b/>
          <w:color w:val="0F6FC6"/>
          <w:sz w:val="28"/>
          <w:u w:color="auto"/>
        </w:rPr>
        <w:t>（一）求职成功途径</w:t>
      </w:r>
      <w:bookmarkEnd w:id="6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经第三方数据调查公司调研，毕业生落实第一份工作的主要渠道为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社会招聘</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（32.06%），其次为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亲友渠道</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（18.28%）。</w:t>
      </w:r>
    </w:p>
    <w:p>
      <w:pPr>
        <w:jc w:val="right"/>
        <w:rPr>
          <w:rFonts w:hint="default" w:ascii="Times New Roman" w:hAnsi="Times New Roman" w:cs="Times New Roman"/>
        </w:rPr>
      </w:pPr>
      <w:r>
        <mc:AlternateContent>
          <mc:Choice Requires="wps">
            <w:drawing>
              <wp:anchor distT="0" distB="0" distL="114300" distR="114300" simplePos="0" relativeHeight="251670528" behindDoc="0" locked="0" layoutInCell="1" allowOverlap="1">
                <wp:simplePos x="0" y="0"/>
                <wp:positionH relativeFrom="column">
                  <wp:posOffset>69215</wp:posOffset>
                </wp:positionH>
                <wp:positionV relativeFrom="paragraph">
                  <wp:posOffset>1806575</wp:posOffset>
                </wp:positionV>
                <wp:extent cx="5248275" cy="1962785"/>
                <wp:effectExtent l="6350" t="6350" r="22225" b="12065"/>
                <wp:wrapNone/>
                <wp:docPr id="16" name="圆角矩形 16"/>
                <wp:cNvGraphicFramePr/>
                <a:graphic xmlns:a="http://schemas.openxmlformats.org/drawingml/2006/main">
                  <a:graphicData uri="http://schemas.microsoft.com/office/word/2010/wordprocessingShape">
                    <wps:wsp>
                      <wps:cNvSpPr/>
                      <wps:spPr>
                        <a:xfrm flipH="1">
                          <a:off x="0" y="0"/>
                          <a:ext cx="5248275" cy="1962785"/>
                        </a:xfrm>
                        <a:prstGeom prst="roundRect">
                          <a:avLst>
                            <a:gd name="adj" fmla="val 16667"/>
                          </a:avLst>
                        </a:prstGeom>
                        <a:noFill/>
                        <a:ln w="12700" cap="flat" cmpd="sng">
                          <a:solidFill>
                            <a:srgbClr val="6096E6"/>
                          </a:solidFill>
                          <a:prstDash val="lgDashDot"/>
                          <a:round/>
                          <a:headEnd type="none" w="med" len="med"/>
                          <a:tailEnd type="none" w="med" len="med"/>
                        </a:ln>
                        <a:effectLst/>
                      </wps:spPr>
                      <wps:bodyPr anchor="ctr" anchorCtr="0" upright="1"/>
                    </wps:wsp>
                  </a:graphicData>
                </a:graphic>
              </wp:anchor>
            </w:drawing>
          </mc:Choice>
          <mc:Fallback>
            <w:pict>
              <v:roundrect id="_x0000_s1026" o:spid="_x0000_s1026" o:spt="2" style="position:absolute;left:0pt;flip:x;margin-left:5.45pt;margin-top:142.25pt;height:154.55pt;width:413.25pt;z-index:251670528;v-text-anchor:middle;mso-width-relative:page;mso-height-relative:page;" filled="f" stroked="t" coordsize="21600,21600" arcsize="0.166666666666667" o:gfxdata="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QormtcAAAAKAQAADwAAAAAAAAABACAAAAAiAAAA&#10;ZHJzL2Rvd25yZXYueG1sUEsBAhQAFAAAAAgAh07iQDczEvxBAgAAZwQAAA4AAAAAAAAAAQAgAAAA&#10;JgEAAGRycy9lMm9Eb2MueG1sUEsFBgAAAAAGAAYAWQEAANkFAAAAAA==&#10;">
                <v:fill on="f" focussize="0,0"/>
                <v:stroke weight="1pt" color="#6096E6" joinstyle="round" dashstyle="longDashDot"/>
                <v:imagedata o:title=""/>
                <o:lock v:ext="edit" aspectratio="f"/>
              </v:roundrect>
            </w:pict>
          </mc:Fallback>
        </mc:AlternateContent>
      </w:r>
      <w:r>
        <w:drawing>
          <wp:anchor distT="0" distB="0" distL="114300" distR="114300" simplePos="0" relativeHeight="251673600" behindDoc="0" locked="0" layoutInCell="1" allowOverlap="1">
            <wp:simplePos x="0" y="0"/>
            <wp:positionH relativeFrom="column">
              <wp:posOffset>343535</wp:posOffset>
            </wp:positionH>
            <wp:positionV relativeFrom="paragraph">
              <wp:posOffset>2482850</wp:posOffset>
            </wp:positionV>
            <wp:extent cx="878205" cy="887730"/>
            <wp:effectExtent l="0" t="0" r="17145" b="7620"/>
            <wp:wrapNone/>
            <wp:docPr id="102" name="图片 34" descr="31393935333139373b31393936363234353b5b66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4" descr="31393935333139373b31393936363234353b5b666821"/>
                    <pic:cNvPicPr>
                      <a:picLocks noChangeAspect="1"/>
                    </pic:cNvPicPr>
                  </pic:nvPicPr>
                  <pic:blipFill>
                    <a:blip r:embed="rId86">
                      <a:extLst>
                        <a:ext uri="{96DAC541-7B7A-43D3-8B79-37D633B846F1}">
                          <asvg:svgBlip xmlns:asvg="http://schemas.microsoft.com/office/drawing/2016/SVG/main" r:embed="rId87"/>
                        </a:ext>
                      </a:extLst>
                    </a:blip>
                    <a:stretch>
                      <a:fillRect/>
                    </a:stretch>
                  </pic:blipFill>
                  <pic:spPr>
                    <a:xfrm>
                      <a:off x="0" y="0"/>
                      <a:ext cx="878205" cy="887730"/>
                    </a:xfrm>
                    <a:prstGeom prst="rect">
                      <a:avLst/>
                    </a:prstGeom>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column">
                  <wp:posOffset>233680</wp:posOffset>
                </wp:positionH>
                <wp:positionV relativeFrom="paragraph">
                  <wp:posOffset>2099310</wp:posOffset>
                </wp:positionV>
                <wp:extent cx="1128395" cy="480695"/>
                <wp:effectExtent l="0" t="0" r="0" b="0"/>
                <wp:wrapNone/>
                <wp:docPr id="88" name="文本框 88"/>
                <wp:cNvGraphicFramePr/>
                <a:graphic xmlns:a="http://schemas.openxmlformats.org/drawingml/2006/main">
                  <a:graphicData uri="http://schemas.microsoft.com/office/word/2010/wordprocessingShape">
                    <wps:wsp>
                      <wps:cNvSpPr txBox="1"/>
                      <wps:spPr>
                        <a:xfrm>
                          <a:off x="1365756" y="3117539"/>
                          <a:ext cx="1128470" cy="480388"/>
                        </a:xfrm>
                        <a:prstGeom prst="rect">
                          <a:avLst/>
                        </a:prstGeom>
                        <a:noFill/>
                        <a:ln>
                          <a:noFill/>
                        </a:ln>
                        <a:effectLst/>
                      </wps:spPr>
                      <wps:txbx>
                        <w:txbxContent>
                          <w:p>
                            <w:pPr>
                              <w:pStyle w:val="12"/>
                              <w:kinsoku/>
                              <w:ind w:left="0"/>
                              <w:jc w:val="center"/>
                              <w:rPr>
                                <w:b/>
                                <w:bCs/>
                                <w:color w:val="4F80BD"/>
                              </w:rPr>
                            </w:pPr>
                            <w:r>
                              <w:rPr>
                                <w:rFonts w:asciiTheme="minorAscii" w:hAnsiTheme="minorBidi" w:eastAsiaTheme="minorEastAsia"/>
                                <w:b/>
                                <w:bCs/>
                                <w:color w:val="4F80BD"/>
                                <w:kern w:val="24"/>
                                <w:sz w:val="24"/>
                                <w:szCs w:val="24"/>
                              </w:rPr>
                              <w:t>学校渠道</w:t>
                            </w:r>
                          </w:p>
                        </w:txbxContent>
                      </wps:txbx>
                      <wps:bodyPr wrap="square" rtlCol="0">
                        <a:noAutofit/>
                      </wps:bodyPr>
                    </wps:wsp>
                  </a:graphicData>
                </a:graphic>
              </wp:anchor>
            </w:drawing>
          </mc:Choice>
          <mc:Fallback>
            <w:pict>
              <v:shape id="_x0000_s1026" o:spid="_x0000_s1026" o:spt="202" type="#_x0000_t202" style="position:absolute;left:0pt;margin-left:18.4pt;margin-top:165.3pt;height:37.85pt;width:88.85pt;z-index:251674624;mso-width-relative:page;mso-height-relative:page;" filled="f" stroked="f" coordsize="21600,21600" o:gfxdata="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mag7dgAAAAKAQAADwAAAAAAAAABACAA&#10;AAAiAAAAZHJzL2Rvd25yZXYueG1sUEsBAhQAFAAAAAgAh07iQFkiKKHUAQAAkQMAAA4AAAAAAAAA&#10;AQAgAAAAJwEAAGRycy9lMm9Eb2MueG1sUEsFBgAAAAAGAAYAWQEAAG0FAAAAAA==&#10;">
                <v:fill on="f" focussize="0,0"/>
                <v:stroke on="f"/>
                <v:imagedata o:title=""/>
                <o:lock v:ext="edit" aspectratio="f"/>
                <v:textbox>
                  <w:txbxContent>
                    <w:p>
                      <w:pPr>
                        <w:pStyle w:val="12"/>
                        <w:kinsoku/>
                        <w:ind w:left="0"/>
                        <w:jc w:val="center"/>
                        <w:rPr>
                          <w:b/>
                          <w:bCs/>
                          <w:color w:val="4F80BD"/>
                        </w:rPr>
                      </w:pPr>
                      <w:r>
                        <w:rPr>
                          <w:rFonts w:asciiTheme="minorAscii" w:hAnsiTheme="minorBidi" w:eastAsiaTheme="minorEastAsia"/>
                          <w:b/>
                          <w:bCs/>
                          <w:color w:val="4F80BD"/>
                          <w:kern w:val="24"/>
                          <w:sz w:val="24"/>
                          <w:szCs w:val="24"/>
                        </w:rPr>
                        <w:t>学校渠道</w:t>
                      </w:r>
                    </w:p>
                  </w:txbxContent>
                </v:textbox>
              </v:shape>
            </w:pict>
          </mc:Fallback>
        </mc:AlternateContent>
      </w:r>
      <w:r>
        <w:drawing>
          <wp:anchor distT="0" distB="0" distL="114300" distR="114300" simplePos="0" relativeHeight="251671552" behindDoc="0" locked="0" layoutInCell="1" allowOverlap="1">
            <wp:simplePos x="0" y="0"/>
            <wp:positionH relativeFrom="column">
              <wp:posOffset>344170</wp:posOffset>
            </wp:positionH>
            <wp:positionV relativeFrom="paragraph">
              <wp:posOffset>683895</wp:posOffset>
            </wp:positionV>
            <wp:extent cx="878205" cy="887095"/>
            <wp:effectExtent l="0" t="0" r="17145" b="7620"/>
            <wp:wrapNone/>
            <wp:docPr id="19" name="图片 35" descr="32313535393238333b32313535393330323b62db805897628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32313535393238333b32313535393330323b62db805897628bd5"/>
                    <pic:cNvPicPr>
                      <a:picLocks noChangeAspect="1"/>
                    </pic:cNvPicPr>
                  </pic:nvPicPr>
                  <pic:blipFill>
                    <a:blip r:embed="rId88">
                      <a:extLst>
                        <a:ext uri="{96DAC541-7B7A-43D3-8B79-37D633B846F1}">
                          <asvg:svgBlip xmlns:asvg="http://schemas.microsoft.com/office/drawing/2016/SVG/main" r:embed="rId89"/>
                        </a:ext>
                      </a:extLst>
                    </a:blip>
                    <a:stretch>
                      <a:fillRect/>
                    </a:stretch>
                  </pic:blipFill>
                  <pic:spPr>
                    <a:xfrm>
                      <a:off x="0" y="0"/>
                      <a:ext cx="878205" cy="887095"/>
                    </a:xfrm>
                    <a:prstGeom prst="rect">
                      <a:avLst/>
                    </a:prstGeom>
                  </pic:spPr>
                </pic:pic>
              </a:graphicData>
            </a:graphic>
          </wp:anchor>
        </w:drawing>
      </w:r>
      <w:r>
        <mc:AlternateContent>
          <mc:Choice Requires="wps">
            <w:drawing>
              <wp:anchor distT="0" distB="0" distL="114300" distR="114300" simplePos="0" relativeHeight="251672576" behindDoc="0" locked="0" layoutInCell="1" allowOverlap="1">
                <wp:simplePos x="0" y="0"/>
                <wp:positionH relativeFrom="column">
                  <wp:posOffset>254635</wp:posOffset>
                </wp:positionH>
                <wp:positionV relativeFrom="paragraph">
                  <wp:posOffset>351155</wp:posOffset>
                </wp:positionV>
                <wp:extent cx="1128395" cy="480695"/>
                <wp:effectExtent l="0" t="0" r="0" b="0"/>
                <wp:wrapNone/>
                <wp:docPr id="100" name="文本框 100"/>
                <wp:cNvGraphicFramePr/>
                <a:graphic xmlns:a="http://schemas.openxmlformats.org/drawingml/2006/main">
                  <a:graphicData uri="http://schemas.microsoft.com/office/word/2010/wordprocessingShape">
                    <wps:wsp>
                      <wps:cNvSpPr txBox="1"/>
                      <wps:spPr>
                        <a:xfrm>
                          <a:off x="1365756" y="1175752"/>
                          <a:ext cx="1128470" cy="480388"/>
                        </a:xfrm>
                        <a:prstGeom prst="rect">
                          <a:avLst/>
                        </a:prstGeom>
                        <a:noFill/>
                        <a:ln>
                          <a:noFill/>
                        </a:ln>
                        <a:effectLst/>
                      </wps:spPr>
                      <wps:txbx>
                        <w:txbxContent>
                          <w:p>
                            <w:pPr>
                              <w:pStyle w:val="12"/>
                              <w:kinsoku/>
                              <w:ind w:left="0"/>
                              <w:jc w:val="center"/>
                              <w:rPr>
                                <w:rFonts w:asciiTheme="minorAscii" w:hAnsiTheme="minorBidi" w:eastAsiaTheme="minorEastAsia"/>
                                <w:b/>
                                <w:bCs/>
                                <w:color w:val="4F80BD"/>
                                <w:kern w:val="24"/>
                                <w:sz w:val="24"/>
                                <w:szCs w:val="24"/>
                              </w:rPr>
                            </w:pPr>
                            <w:r>
                              <w:rPr>
                                <w:rFonts w:asciiTheme="minorAscii" w:hAnsiTheme="minorBidi" w:eastAsiaTheme="minorEastAsia"/>
                                <w:b/>
                                <w:bCs/>
                                <w:color w:val="4F80BD"/>
                                <w:kern w:val="24"/>
                                <w:sz w:val="24"/>
                                <w:szCs w:val="24"/>
                              </w:rPr>
                              <w:t>社会渠道</w:t>
                            </w:r>
                          </w:p>
                        </w:txbxContent>
                      </wps:txbx>
                      <wps:bodyPr wrap="square" rtlCol="0">
                        <a:noAutofit/>
                      </wps:bodyPr>
                    </wps:wsp>
                  </a:graphicData>
                </a:graphic>
              </wp:anchor>
            </w:drawing>
          </mc:Choice>
          <mc:Fallback>
            <w:pict>
              <v:shape id="_x0000_s1026" o:spid="_x0000_s1026" o:spt="202" type="#_x0000_t202" style="position:absolute;left:0pt;margin-left:20.05pt;margin-top:27.65pt;height:37.85pt;width:88.85pt;z-index:251672576;mso-width-relative:page;mso-height-relative:page;" filled="f" stroked="f" coordsize="21600,21600" o:gfxdata="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EM91TWAAAACQEAAA8AAAAAAAAAAQAgAAAAIgAA&#10;AGRycy9kb3ducmV2LnhtbFBLAQIUABQAAAAIAIdO4kCuCH/M0QEAAJMDAAAOAAAAAAAAAAEAIAAA&#10;ACUBAABkcnMvZTJvRG9jLnhtbFBLBQYAAAAABgAGAFkBAABoBQAAAAA=&#10;">
                <v:fill on="f" focussize="0,0"/>
                <v:stroke on="f"/>
                <v:imagedata o:title=""/>
                <o:lock v:ext="edit" aspectratio="f"/>
                <v:textbox>
                  <w:txbxContent>
                    <w:p>
                      <w:pPr>
                        <w:pStyle w:val="12"/>
                        <w:kinsoku/>
                        <w:ind w:left="0"/>
                        <w:jc w:val="center"/>
                        <w:rPr>
                          <w:rFonts w:asciiTheme="minorAscii" w:hAnsiTheme="minorBidi" w:eastAsiaTheme="minorEastAsia"/>
                          <w:b/>
                          <w:bCs/>
                          <w:color w:val="4F80BD"/>
                          <w:kern w:val="24"/>
                          <w:sz w:val="24"/>
                          <w:szCs w:val="24"/>
                        </w:rPr>
                      </w:pPr>
                      <w:r>
                        <w:rPr>
                          <w:rFonts w:asciiTheme="minorAscii" w:hAnsiTheme="minorBidi" w:eastAsiaTheme="minorEastAsia"/>
                          <w:b/>
                          <w:bCs/>
                          <w:color w:val="4F80BD"/>
                          <w:kern w:val="24"/>
                          <w:sz w:val="24"/>
                          <w:szCs w:val="24"/>
                        </w:rPr>
                        <w:t>社会渠道</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69215</wp:posOffset>
                </wp:positionH>
                <wp:positionV relativeFrom="paragraph">
                  <wp:posOffset>187325</wp:posOffset>
                </wp:positionV>
                <wp:extent cx="5248275" cy="1620520"/>
                <wp:effectExtent l="6350" t="6350" r="22225" b="11430"/>
                <wp:wrapNone/>
                <wp:docPr id="15" name="圆角矩形 15"/>
                <wp:cNvGraphicFramePr/>
                <a:graphic xmlns:a="http://schemas.openxmlformats.org/drawingml/2006/main">
                  <a:graphicData uri="http://schemas.microsoft.com/office/word/2010/wordprocessingShape">
                    <wps:wsp>
                      <wps:cNvSpPr/>
                      <wps:spPr>
                        <a:xfrm flipH="1">
                          <a:off x="1141095" y="1021715"/>
                          <a:ext cx="5248275" cy="1742712"/>
                        </a:xfrm>
                        <a:prstGeom prst="roundRect">
                          <a:avLst>
                            <a:gd name="adj" fmla="val 16667"/>
                          </a:avLst>
                        </a:prstGeom>
                        <a:noFill/>
                        <a:ln w="12700" cap="flat" cmpd="sng">
                          <a:solidFill>
                            <a:srgbClr val="6096E6"/>
                          </a:solidFill>
                          <a:prstDash val="lgDashDot"/>
                          <a:round/>
                          <a:headEnd type="none" w="med" len="med"/>
                          <a:tailEnd type="none" w="med" len="med"/>
                        </a:ln>
                        <a:effectLst/>
                      </wps:spPr>
                      <wps:bodyPr anchor="ctr" anchorCtr="0" upright="1"/>
                    </wps:wsp>
                  </a:graphicData>
                </a:graphic>
              </wp:anchor>
            </w:drawing>
          </mc:Choice>
          <mc:Fallback>
            <w:pict>
              <v:roundrect id="_x0000_s1026" o:spid="_x0000_s1026" o:spt="2" style="position:absolute;left:0pt;flip:x;margin-left:5.45pt;margin-top:14.75pt;height:127.6pt;width:413.25pt;z-index:251669504;v-text-anchor:middle;mso-width-relative:page;mso-height-relative:page;" filled="f" stroked="t" coordsize="21600,21600" arcsize="0.166666666666667" o:gfxdata="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0Prl1gAAAAkBAAAPAAAAAAAAAAEA&#10;IAAAACIAAABkcnMvZG93bnJldi54bWxQSwECFAAUAAAACACHTuJAv/9ESkoCAABzBAAADgAAAAAA&#10;AAABACAAAAAlAQAAZHJzL2Uyb0RvYy54bWxQSwUGAAAAAAYABgBZAQAA4QUAAAAA&#10;">
                <v:fill on="f" focussize="0,0"/>
                <v:stroke weight="1pt" color="#6096E6" joinstyle="round" dashstyle="longDashDot"/>
                <v:imagedata o:title=""/>
                <o:lock v:ext="edit" aspectratio="f"/>
              </v:roundrect>
            </w:pict>
          </mc:Fallback>
        </mc:AlternateContent>
      </w:r>
      <w:r>
        <w:rPr>
          <w:rFonts w:hint="default" w:ascii="Times New Roman" w:hAnsi="Times New Roman" w:cs="Times New Roman"/>
        </w:rPr>
        <w:drawing>
          <wp:inline distT="0" distB="0" distL="0" distR="0">
            <wp:extent cx="3770630" cy="3820160"/>
            <wp:effectExtent l="0" t="0" r="1270" b="8890"/>
            <wp:docPr id="38"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图5-15  2023届毕业生求职途径分布（单位：%）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52"/>
        </w:numPr>
        <w:shd w:val="clear" w:color="auto" w:fill="FFFFFF"/>
        <w:spacing w:before="15" w:after="15" w:line="360" w:lineRule="auto"/>
        <w:jc w:val="left"/>
        <w:outlineLvl w:val="2"/>
        <w:rPr>
          <w:rFonts w:hint="default" w:ascii="Times New Roman" w:hAnsi="Times New Roman" w:cs="Times New Roman"/>
        </w:rPr>
      </w:pPr>
      <w:bookmarkStart w:id="68" w:name="_Toc11645"/>
      <w:r>
        <w:rPr>
          <w:rFonts w:hint="default" w:ascii="Times New Roman" w:hAnsi="Times New Roman" w:eastAsia="黑体" w:cs="Times New Roman"/>
          <w:b/>
          <w:color w:val="0F6FC6"/>
          <w:sz w:val="28"/>
          <w:u w:color="auto"/>
        </w:rPr>
        <w:t>（二）求职过程分析</w:t>
      </w:r>
      <w:bookmarkEnd w:id="6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2023届毕业生人均投递简历8.83份，获得面试机会4.20次，收到录用通知书2.06份，人均求职花费390.54元，求职周期35.88天。</w:t>
      </w:r>
    </w:p>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572125" cy="1428750"/>
            <wp:effectExtent l="0" t="0" r="9525" b="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91"/>
                    <a:stretch>
                      <a:fillRect/>
                    </a:stretch>
                  </pic:blipFill>
                  <pic:spPr>
                    <a:xfrm>
                      <a:off x="0" y="0"/>
                      <a:ext cx="5572125" cy="1428750"/>
                    </a:xfrm>
                    <a:prstGeom prst="rect">
                      <a:avLst/>
                    </a:prstGeom>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图5-16  2023届毕业生求职过程分析</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53"/>
        </w:numPr>
        <w:shd w:val="clear" w:color="auto" w:fill="FFFFFF"/>
        <w:spacing w:before="15" w:after="15" w:line="360" w:lineRule="auto"/>
        <w:jc w:val="left"/>
        <w:outlineLvl w:val="2"/>
        <w:rPr>
          <w:rFonts w:hint="default" w:ascii="Times New Roman" w:hAnsi="Times New Roman" w:cs="Times New Roman"/>
        </w:rPr>
      </w:pPr>
      <w:bookmarkStart w:id="69" w:name="_Toc8534"/>
      <w:r>
        <w:rPr>
          <w:rFonts w:hint="default" w:ascii="Times New Roman" w:hAnsi="Times New Roman" w:eastAsia="黑体" w:cs="Times New Roman"/>
          <w:b/>
          <w:color w:val="0F6FC6"/>
          <w:sz w:val="28"/>
          <w:u w:color="auto"/>
        </w:rPr>
        <w:t>（三）求职成功关键因素</w:t>
      </w:r>
      <w:bookmarkEnd w:id="6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2023届毕业生认为求职成功的关键是专业相关能力强、实践、实习经验丰富、学历层次高等。具体情况如下：</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733925" cy="4037330"/>
            <wp:effectExtent l="0" t="0" r="9525" b="1270"/>
            <wp:docPr id="40"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图5-17  2023届毕业生求职成功关键因素（单位：%）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54"/>
        </w:numPr>
        <w:shd w:val="clear" w:color="auto" w:fill="FFFFFF"/>
        <w:spacing w:before="15" w:after="15" w:line="360" w:lineRule="auto"/>
        <w:jc w:val="left"/>
        <w:outlineLvl w:val="2"/>
        <w:rPr>
          <w:rFonts w:hint="default" w:ascii="Times New Roman" w:hAnsi="Times New Roman" w:cs="Times New Roman"/>
        </w:rPr>
      </w:pPr>
      <w:bookmarkStart w:id="70" w:name="_Toc7260"/>
      <w:r>
        <w:rPr>
          <w:rFonts w:hint="default" w:ascii="Times New Roman" w:hAnsi="Times New Roman" w:eastAsia="黑体" w:cs="Times New Roman"/>
          <w:b/>
          <w:color w:val="0F6FC6"/>
          <w:sz w:val="28"/>
          <w:u w:color="auto"/>
        </w:rPr>
        <w:t>（四）求职价值观</w:t>
      </w:r>
      <w:bookmarkEnd w:id="7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2023届毕业生在求职时，最看重的因素分别为薪酬福利水平、个人发展空间、工作稳定性等。具体情况如下：</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94200" cy="3627120"/>
            <wp:effectExtent l="0" t="0" r="6350" b="11430"/>
            <wp:docPr id="41"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图5-18  2023届毕业生求职价值观</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55"/>
        </w:numPr>
        <w:shd w:val="clear" w:color="auto" w:fill="FFFFFF"/>
        <w:spacing w:before="15" w:after="15" w:line="360" w:lineRule="auto"/>
        <w:jc w:val="left"/>
        <w:outlineLvl w:val="2"/>
        <w:rPr>
          <w:rFonts w:hint="default" w:ascii="Times New Roman" w:hAnsi="Times New Roman" w:cs="Times New Roman"/>
        </w:rPr>
      </w:pPr>
      <w:bookmarkStart w:id="71" w:name="_Toc5829"/>
      <w:r>
        <w:rPr>
          <w:rFonts w:hint="default" w:ascii="Times New Roman" w:hAnsi="Times New Roman" w:eastAsia="黑体" w:cs="Times New Roman"/>
          <w:b/>
          <w:color w:val="0F6FC6"/>
          <w:sz w:val="28"/>
          <w:u w:color="auto"/>
        </w:rPr>
        <w:t>（五）求职困难</w:t>
      </w:r>
      <w:bookmarkEnd w:id="7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受就业观念、市场供需等方面的影响，毕业生在择业过程中，会遇到各种各样的困难。学校2023届毕业生在求职过程中遇到的困难主要是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实践经验缺乏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（63.38%）和</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社会关系缺乏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（35.12%）。</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19270" cy="2682875"/>
            <wp:effectExtent l="0" t="0" r="5080" b="3175"/>
            <wp:docPr id="42"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图5-19  2023届毕业生求职困难分析（单位：%）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pageBreakBefore/>
        <w:numPr>
          <w:ilvl w:val="0"/>
          <w:numId w:val="56"/>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hint="default" w:ascii="Times New Roman" w:hAnsi="Times New Roman" w:cs="Times New Roman"/>
        </w:rPr>
      </w:pPr>
      <w:bookmarkStart w:id="72" w:name="_Toc22412"/>
      <w:r>
        <w:rPr>
          <w:rFonts w:hint="default" w:ascii="Times New Roman" w:hAnsi="Times New Roman" w:eastAsia="黑体" w:cs="Times New Roman"/>
          <w:b/>
          <w:color w:val="FFFFFF"/>
          <w:sz w:val="36"/>
          <w:u w:color="auto"/>
        </w:rPr>
        <w:t>PART 06  就业发展趋势分析</w:t>
      </w:r>
      <w:bookmarkEnd w:id="72"/>
    </w:p>
    <w:p>
      <w:pPr>
        <w:rPr>
          <w:rFonts w:hint="default" w:ascii="Times New Roman" w:hAnsi="Times New Roman" w:cs="Times New Roman"/>
        </w:rPr>
      </w:pPr>
      <w:r>
        <w:rPr>
          <w:rFonts w:hint="default" w:ascii="Times New Roman" w:hAnsi="Times New Roman" w:cs="Times New Roman"/>
        </w:rPr>
        <w:t>
</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本章对学校毕业生就业数据进行趋势性分析，以便能更好地把握市场变化规律、学生择业观与就业预期变化，进一步提升就业工作成效。</w:t>
      </w:r>
    </w:p>
    <w:p>
      <w:pPr>
        <w:numPr>
          <w:ilvl w:val="1"/>
          <w:numId w:val="57"/>
        </w:numPr>
        <w:shd w:val="clear" w:color="auto" w:fill="FFFFFF"/>
        <w:spacing w:before="15" w:after="15" w:line="360" w:lineRule="auto"/>
        <w:jc w:val="left"/>
        <w:outlineLvl w:val="1"/>
        <w:rPr>
          <w:rFonts w:hint="default" w:ascii="Times New Roman" w:hAnsi="Times New Roman" w:cs="Times New Roman"/>
        </w:rPr>
      </w:pPr>
      <w:bookmarkStart w:id="73" w:name="_Toc28130"/>
      <w:r>
        <w:rPr>
          <w:rFonts w:hint="default" w:ascii="Times New Roman" w:hAnsi="Times New Roman" w:eastAsia="黑体" w:cs="Times New Roman"/>
          <w:b/>
          <w:color w:val="0F6FC6"/>
          <w:sz w:val="30"/>
          <w:u w:color="auto"/>
        </w:rPr>
        <w:t>一、毕业去向落实率及毕业去向变化趋势</w:t>
      </w:r>
      <w:bookmarkEnd w:id="7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eastAsia="宋体" w:cs="Times New Roman"/>
          <w:highlight w:val="none"/>
        </w:rPr>
      </w:pPr>
      <w:r>
        <w:rPr>
          <w:rFonts w:hint="default" w:ascii="Times New Roman" w:hAnsi="Times New Roman" w:eastAsia="宋体" w:cs="Times New Roman"/>
          <w:b w:val="0"/>
          <w:color w:val="000000"/>
          <w:sz w:val="24"/>
          <w:highlight w:val="none"/>
          <w:u w:color="auto"/>
          <w:lang w:eastAsia="zh-CN"/>
        </w:rPr>
        <w:t>学校</w:t>
      </w:r>
      <w:r>
        <w:rPr>
          <w:rFonts w:hint="default" w:ascii="Times New Roman" w:hAnsi="Times New Roman" w:eastAsia="宋体" w:cs="Times New Roman"/>
          <w:b w:val="0"/>
          <w:color w:val="000000"/>
          <w:sz w:val="24"/>
          <w:highlight w:val="none"/>
          <w:u w:color="auto"/>
        </w:rPr>
        <w:t>历来重视毕业生的就业工作，将实现毕业生的充分就业和高质量就业作为工作重心。如下图所示，近</w:t>
      </w:r>
      <w:r>
        <w:rPr>
          <w:rFonts w:hint="eastAsia" w:ascii="Times New Roman" w:hAnsi="Times New Roman" w:eastAsia="宋体" w:cs="Times New Roman"/>
          <w:b w:val="0"/>
          <w:color w:val="000000"/>
          <w:sz w:val="24"/>
          <w:highlight w:val="none"/>
          <w:u w:color="auto"/>
          <w:lang w:val="en-US" w:eastAsia="zh-CN"/>
        </w:rPr>
        <w:t>三</w:t>
      </w:r>
      <w:r>
        <w:rPr>
          <w:rFonts w:hint="default" w:ascii="Times New Roman" w:hAnsi="Times New Roman" w:eastAsia="宋体" w:cs="Times New Roman"/>
          <w:b w:val="0"/>
          <w:color w:val="000000"/>
          <w:sz w:val="24"/>
          <w:highlight w:val="none"/>
          <w:u w:color="auto"/>
        </w:rPr>
        <w:t>届</w:t>
      </w:r>
      <w:r>
        <w:rPr>
          <w:rFonts w:hint="default" w:ascii="Times New Roman" w:hAnsi="Times New Roman" w:eastAsia="宋体" w:cs="Times New Roman"/>
          <w:bCs/>
          <w:caps w:val="0"/>
          <w:color w:val="000000"/>
          <w:sz w:val="24"/>
          <w:szCs w:val="30"/>
          <w:highlight w:val="none"/>
          <w:lang w:val="zh-CN" w:eastAsia="zh-CN" w:bidi="ar-SA"/>
        </w:rPr>
        <w:t>毕业生的毕业去向落实率</w:t>
      </w:r>
      <w:r>
        <w:rPr>
          <w:rFonts w:hint="eastAsia" w:ascii="Times New Roman" w:hAnsi="Times New Roman" w:eastAsia="宋体" w:cs="Times New Roman"/>
          <w:bCs/>
          <w:caps w:val="0"/>
          <w:color w:val="000000"/>
          <w:sz w:val="24"/>
          <w:szCs w:val="30"/>
          <w:highlight w:val="none"/>
          <w:lang w:val="en-US" w:eastAsia="zh-CN" w:bidi="ar-SA"/>
        </w:rPr>
        <w:t>均在</w:t>
      </w:r>
      <w:r>
        <w:rPr>
          <w:rFonts w:hint="eastAsia" w:cs="Times New Roman"/>
          <w:bCs/>
          <w:caps w:val="0"/>
          <w:color w:val="000000"/>
          <w:sz w:val="24"/>
          <w:szCs w:val="30"/>
          <w:highlight w:val="none"/>
          <w:lang w:val="en-US" w:eastAsia="zh-CN" w:bidi="ar-SA"/>
        </w:rPr>
        <w:t>76</w:t>
      </w:r>
      <w:r>
        <w:rPr>
          <w:rFonts w:hint="eastAsia" w:ascii="Times New Roman" w:hAnsi="Times New Roman" w:eastAsia="宋体" w:cs="Times New Roman"/>
          <w:bCs/>
          <w:caps w:val="0"/>
          <w:color w:val="000000"/>
          <w:sz w:val="24"/>
          <w:szCs w:val="30"/>
          <w:highlight w:val="none"/>
          <w:lang w:val="en-US" w:eastAsia="zh-CN" w:bidi="ar-SA"/>
        </w:rPr>
        <w:t>.00%及以上</w:t>
      </w:r>
      <w:r>
        <w:rPr>
          <w:rFonts w:hint="default" w:ascii="Times New Roman" w:hAnsi="Times New Roman" w:eastAsia="宋体" w:cs="Times New Roman"/>
          <w:bCs/>
          <w:caps w:val="0"/>
          <w:color w:val="000000"/>
          <w:sz w:val="24"/>
          <w:szCs w:val="30"/>
          <w:highlight w:val="none"/>
          <w:lang w:val="zh-CN" w:eastAsia="zh-CN" w:bidi="ar-SA"/>
        </w:rPr>
        <w:t>，</w:t>
      </w:r>
      <w:r>
        <w:rPr>
          <w:rFonts w:hint="eastAsia" w:ascii="Times New Roman" w:hAnsi="Times New Roman" w:eastAsia="宋体" w:cs="宋体"/>
          <w:bCs/>
          <w:caps w:val="0"/>
          <w:color w:val="000000"/>
          <w:sz w:val="24"/>
          <w:szCs w:val="30"/>
          <w:highlight w:val="none"/>
          <w:lang w:val="zh-CN" w:eastAsia="zh-CN" w:bidi="ar-SA"/>
        </w:rPr>
        <w:t>202</w:t>
      </w:r>
      <w:r>
        <w:rPr>
          <w:rFonts w:hint="eastAsia" w:ascii="Times New Roman" w:hAnsi="Times New Roman" w:eastAsia="宋体" w:cs="宋体"/>
          <w:bCs/>
          <w:caps w:val="0"/>
          <w:color w:val="000000"/>
          <w:sz w:val="24"/>
          <w:szCs w:val="30"/>
          <w:highlight w:val="none"/>
          <w:lang w:val="en-US" w:eastAsia="zh-CN" w:bidi="ar-SA"/>
        </w:rPr>
        <w:t>3</w:t>
      </w:r>
      <w:r>
        <w:rPr>
          <w:rFonts w:hint="eastAsia" w:ascii="Times New Roman" w:hAnsi="Times New Roman" w:eastAsia="宋体" w:cs="宋体"/>
          <w:bCs/>
          <w:caps w:val="0"/>
          <w:color w:val="000000"/>
          <w:sz w:val="24"/>
          <w:szCs w:val="30"/>
          <w:highlight w:val="none"/>
          <w:lang w:val="zh-CN" w:eastAsia="zh-CN" w:bidi="ar-SA"/>
        </w:rPr>
        <w:t>届毕业生</w:t>
      </w:r>
      <w:r>
        <w:rPr>
          <w:rFonts w:hint="eastAsia" w:ascii="Times New Roman" w:hAnsi="Times New Roman" w:eastAsia="宋体" w:cs="宋体"/>
          <w:bCs/>
          <w:caps w:val="0"/>
          <w:color w:val="000000"/>
          <w:sz w:val="24"/>
          <w:szCs w:val="30"/>
          <w:highlight w:val="none"/>
          <w:lang w:val="en-US" w:eastAsia="zh-CN" w:bidi="ar-SA"/>
        </w:rPr>
        <w:t>的毕业去向落实</w:t>
      </w:r>
      <w:r>
        <w:rPr>
          <w:rFonts w:hint="eastAsia" w:ascii="Times New Roman" w:hAnsi="Times New Roman" w:eastAsia="宋体" w:cs="宋体"/>
          <w:bCs/>
          <w:caps w:val="0"/>
          <w:color w:val="000000"/>
          <w:sz w:val="24"/>
          <w:szCs w:val="30"/>
          <w:highlight w:val="none"/>
          <w:lang w:val="zh-CN" w:eastAsia="zh-CN" w:bidi="ar-SA"/>
        </w:rPr>
        <w:t>率较20</w:t>
      </w:r>
      <w:r>
        <w:rPr>
          <w:rFonts w:hint="eastAsia" w:ascii="Times New Roman" w:hAnsi="Times New Roman" w:eastAsia="宋体" w:cs="宋体"/>
          <w:sz w:val="24"/>
          <w:szCs w:val="24"/>
          <w:highlight w:val="none"/>
          <w:lang w:val="en-US" w:eastAsia="zh-CN"/>
        </w:rPr>
        <w:t>22届</w:t>
      </w:r>
      <w:r>
        <w:rPr>
          <w:rFonts w:hint="eastAsia" w:cs="宋体"/>
          <w:sz w:val="24"/>
          <w:szCs w:val="24"/>
          <w:highlight w:val="none"/>
          <w:lang w:val="en-US" w:eastAsia="zh-CN"/>
        </w:rPr>
        <w:t>上涨1.91</w:t>
      </w:r>
      <w:r>
        <w:rPr>
          <w:rFonts w:hint="eastAsia" w:ascii="Times New Roman" w:hAnsi="Times New Roman" w:eastAsia="宋体" w:cs="宋体"/>
          <w:sz w:val="24"/>
          <w:szCs w:val="24"/>
          <w:highlight w:val="none"/>
          <w:lang w:val="en-US" w:eastAsia="zh-CN"/>
        </w:rPr>
        <w:t>个百分点</w:t>
      </w:r>
      <w:r>
        <w:rPr>
          <w:rFonts w:hint="eastAsia" w:ascii="Times New Roman" w:hAnsi="Times New Roman" w:eastAsia="宋体" w:cs="宋体"/>
          <w:bCs/>
          <w:caps w:val="0"/>
          <w:color w:val="000000"/>
          <w:sz w:val="24"/>
          <w:szCs w:val="30"/>
          <w:highlight w:val="none"/>
          <w:lang w:val="en-US" w:eastAsia="zh-CN" w:bidi="ar-SA"/>
        </w:rPr>
        <w:t>。</w:t>
      </w:r>
    </w:p>
    <w:p>
      <w:pPr>
        <w:jc w:val="center"/>
        <w:rPr>
          <w:rFonts w:hint="eastAsia" w:ascii="Times New Roman" w:hAnsi="Times New Roman" w:eastAsia="宋体"/>
          <w:highlight w:val="none"/>
          <w:lang w:eastAsia="zh-CN"/>
        </w:rPr>
      </w:pPr>
      <w:r>
        <w:rPr>
          <w:rFonts w:hint="eastAsia" w:ascii="Times New Roman" w:hAnsi="Times New Roman" w:eastAsia="宋体"/>
          <w:highlight w:val="none"/>
          <w:lang w:eastAsia="zh-CN"/>
        </w:rPr>
        <w:drawing>
          <wp:inline distT="0" distB="0" distL="114300" distR="114300">
            <wp:extent cx="4523105" cy="2560320"/>
            <wp:effectExtent l="0" t="0" r="10795" b="11430"/>
            <wp:docPr id="98" name="图表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spacing w:line="360" w:lineRule="auto"/>
        <w:jc w:val="center"/>
        <w:rPr>
          <w:rFonts w:hint="default" w:ascii="Times New Roman" w:hAnsi="Times New Roman" w:eastAsia="黑体" w:cs="Times New Roman"/>
          <w:b/>
          <w:color w:val="0F6FC6"/>
          <w:sz w:val="21"/>
          <w:u w:color="auto"/>
        </w:rPr>
      </w:pPr>
      <w:r>
        <w:rPr>
          <w:rFonts w:hint="default" w:ascii="Times New Roman" w:hAnsi="Times New Roman" w:eastAsia="黑体" w:cs="Times New Roman"/>
          <w:b/>
          <w:color w:val="0F6FC6"/>
          <w:sz w:val="21"/>
          <w:u w:color="auto"/>
        </w:rPr>
        <w:t>图6-1  202</w:t>
      </w:r>
      <w:r>
        <w:rPr>
          <w:rFonts w:hint="eastAsia" w:ascii="Times New Roman" w:hAnsi="Times New Roman" w:eastAsia="黑体" w:cs="Times New Roman"/>
          <w:b/>
          <w:color w:val="0F6FC6"/>
          <w:sz w:val="21"/>
          <w:u w:color="auto"/>
          <w:lang w:val="en-US" w:eastAsia="zh-CN"/>
        </w:rPr>
        <w:t>1届</w:t>
      </w:r>
      <w:r>
        <w:rPr>
          <w:rFonts w:hint="default" w:ascii="Times New Roman" w:hAnsi="Times New Roman" w:eastAsia="黑体" w:cs="Times New Roman"/>
          <w:b/>
          <w:color w:val="0F6FC6"/>
          <w:sz w:val="21"/>
          <w:u w:color="auto"/>
        </w:rPr>
        <w:t>-</w:t>
      </w:r>
      <w:r>
        <w:rPr>
          <w:rFonts w:hint="eastAsia" w:ascii="Times New Roman" w:hAnsi="Times New Roman" w:eastAsia="黑体" w:cs="Times New Roman"/>
          <w:b/>
          <w:color w:val="0F6FC6"/>
          <w:sz w:val="21"/>
          <w:u w:color="auto"/>
          <w:lang w:eastAsia="zh-CN"/>
        </w:rPr>
        <w:t>2023届</w:t>
      </w:r>
      <w:r>
        <w:rPr>
          <w:rFonts w:hint="default" w:ascii="Times New Roman" w:hAnsi="Times New Roman" w:eastAsia="黑体" w:cs="Times New Roman"/>
          <w:b/>
          <w:color w:val="0F6FC6"/>
          <w:sz w:val="21"/>
          <w:u w:color="auto"/>
        </w:rPr>
        <w:t>毕业生毕业去向落实率分布</w:t>
      </w:r>
    </w:p>
    <w:p>
      <w:pPr>
        <w:spacing w:after="100" w:line="240" w:lineRule="auto"/>
        <w:rPr>
          <w:rFonts w:hint="eastAsia" w:ascii="Times New Roman" w:hAnsi="Times New Roman" w:eastAsia="宋体" w:cs="Times New Roman"/>
          <w:color w:val="0F6FC6"/>
          <w:sz w:val="18"/>
          <w:u w:color="auto"/>
          <w:lang w:eastAsia="zh-CN"/>
        </w:rPr>
      </w:pPr>
      <w:bookmarkStart w:id="74" w:name="_Toc705"/>
      <w:r>
        <w:rPr>
          <w:rFonts w:hint="eastAsia" w:ascii="Times New Roman" w:hAnsi="Times New Roman" w:eastAsia="宋体" w:cs="Times New Roman"/>
          <w:color w:val="0F6FC6"/>
          <w:sz w:val="18"/>
          <w:u w:color="auto"/>
          <w:lang w:eastAsia="zh-CN"/>
        </w:rPr>
        <w:t>数据来源：</w:t>
      </w:r>
      <w:r>
        <w:rPr>
          <w:rFonts w:hint="eastAsia" w:ascii="Times New Roman" w:hAnsi="Times New Roman" w:eastAsia="宋体" w:cs="Times New Roman"/>
          <w:color w:val="0F6FC6"/>
          <w:sz w:val="18"/>
          <w:u w:color="auto"/>
          <w:lang w:val="en-US" w:eastAsia="zh-CN"/>
        </w:rPr>
        <w:t>1.2021届-2022届数据来自</w:t>
      </w:r>
      <w:r>
        <w:rPr>
          <w:rFonts w:hint="eastAsia" w:ascii="Times New Roman" w:hAnsi="Times New Roman" w:eastAsia="宋体" w:cs="Times New Roman"/>
          <w:color w:val="0F6FC6"/>
          <w:sz w:val="18"/>
          <w:u w:color="auto"/>
          <w:lang w:eastAsia="zh-CN"/>
        </w:rPr>
        <w:t>《</w:t>
      </w:r>
      <w:r>
        <w:rPr>
          <w:rFonts w:hint="eastAsia" w:cs="Times New Roman"/>
          <w:color w:val="0F6FC6"/>
          <w:sz w:val="18"/>
          <w:u w:color="auto"/>
          <w:lang w:val="en-US" w:eastAsia="zh-CN"/>
        </w:rPr>
        <w:t>晋中学院</w:t>
      </w:r>
      <w:r>
        <w:rPr>
          <w:rFonts w:hint="eastAsia" w:ascii="Times New Roman" w:hAnsi="Times New Roman" w:eastAsia="宋体" w:cs="Times New Roman"/>
          <w:color w:val="0F6FC6"/>
          <w:sz w:val="18"/>
          <w:u w:color="auto"/>
          <w:lang w:val="en-US" w:eastAsia="zh-CN"/>
        </w:rPr>
        <w:t>2022</w:t>
      </w:r>
      <w:r>
        <w:rPr>
          <w:rFonts w:hint="eastAsia" w:ascii="Times New Roman" w:hAnsi="Times New Roman" w:eastAsia="宋体" w:cs="Times New Roman"/>
          <w:color w:val="0F6FC6"/>
          <w:sz w:val="18"/>
          <w:u w:color="auto"/>
          <w:lang w:eastAsia="zh-CN"/>
        </w:rPr>
        <w:t>届就业质量年度报告》</w:t>
      </w:r>
    </w:p>
    <w:p>
      <w:pPr>
        <w:spacing w:after="100" w:line="240" w:lineRule="auto"/>
        <w:ind w:firstLine="900" w:firstLineChars="500"/>
        <w:rPr>
          <w:rFonts w:hint="default" w:ascii="Times New Roman" w:hAnsi="Times New Roman" w:cs="Times New Roman"/>
        </w:rPr>
      </w:pPr>
      <w:r>
        <w:rPr>
          <w:rFonts w:hint="eastAsia" w:ascii="Times New Roman" w:hAnsi="Times New Roman" w:eastAsia="宋体" w:cs="Times New Roman"/>
          <w:color w:val="0F6FC6"/>
          <w:sz w:val="18"/>
          <w:u w:color="auto"/>
          <w:lang w:val="en-US" w:eastAsia="zh-CN"/>
        </w:rPr>
        <w:t>2.2023届数据来自</w:t>
      </w:r>
      <w:r>
        <w:rPr>
          <w:rFonts w:hint="eastAsia" w:cs="Times New Roman"/>
          <w:color w:val="0F6FC6"/>
          <w:sz w:val="18"/>
          <w:u w:color="auto"/>
          <w:lang w:val="en-US" w:eastAsia="zh-CN"/>
        </w:rPr>
        <w:t>晋中学院</w:t>
      </w:r>
      <w:r>
        <w:rPr>
          <w:rFonts w:hint="eastAsia" w:ascii="Times New Roman" w:hAnsi="Times New Roman" w:eastAsia="宋体" w:cs="Times New Roman"/>
          <w:color w:val="0F6FC6"/>
          <w:sz w:val="18"/>
          <w:u w:color="auto"/>
          <w:lang w:val="en-US" w:eastAsia="zh-CN"/>
        </w:rPr>
        <w:t>就业信息管理系统</w:t>
      </w:r>
      <w:r>
        <w:rPr>
          <w:rFonts w:hint="eastAsia" w:ascii="Times New Roman" w:hAnsi="Times New Roman" w:eastAsia="宋体" w:cs="Times New Roman"/>
          <w:color w:val="0F6FC6"/>
          <w:sz w:val="18"/>
          <w:u w:color="auto"/>
          <w:lang w:eastAsia="zh-CN"/>
        </w:rPr>
        <w:t>。</w:t>
      </w:r>
      <w:bookmarkEnd w:id="74"/>
    </w:p>
    <w:p>
      <w:pPr>
        <w:numPr>
          <w:ilvl w:val="1"/>
          <w:numId w:val="58"/>
        </w:numPr>
        <w:shd w:val="clear" w:color="auto" w:fill="FFFFFF"/>
        <w:spacing w:before="15" w:after="15" w:line="360" w:lineRule="auto"/>
        <w:jc w:val="left"/>
        <w:outlineLvl w:val="1"/>
        <w:rPr>
          <w:rFonts w:hint="default" w:ascii="Times New Roman" w:hAnsi="Times New Roman" w:cs="Times New Roman"/>
        </w:rPr>
      </w:pPr>
      <w:bookmarkStart w:id="75" w:name="_Toc9941"/>
      <w:r>
        <w:rPr>
          <w:rFonts w:hint="default" w:ascii="Times New Roman" w:hAnsi="Times New Roman" w:eastAsia="黑体" w:cs="Times New Roman"/>
          <w:b/>
          <w:color w:val="0F6FC6"/>
          <w:sz w:val="30"/>
          <w:u w:color="auto"/>
        </w:rPr>
        <w:t>二、省内就业地区变化趋势</w:t>
      </w:r>
      <w:bookmarkEnd w:id="7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b w:val="0"/>
          <w:color w:val="000000"/>
          <w:sz w:val="24"/>
          <w:highlight w:val="none"/>
          <w:u w:color="auto"/>
          <w:lang w:eastAsia="zh-CN"/>
        </w:rPr>
      </w:pPr>
      <w:r>
        <w:rPr>
          <w:rFonts w:hint="default" w:ascii="Times New Roman" w:hAnsi="Times New Roman" w:cs="Times New Roman"/>
          <w:b w:val="0"/>
          <w:color w:val="000000"/>
          <w:sz w:val="24"/>
          <w:highlight w:val="none"/>
          <w:u w:color="auto"/>
          <w:lang w:eastAsia="zh-CN"/>
        </w:rPr>
        <w:t>如下图所示，</w:t>
      </w:r>
      <w:r>
        <w:rPr>
          <w:rFonts w:hint="eastAsia" w:ascii="Times New Roman" w:hAnsi="Times New Roman" w:cs="Times New Roman"/>
          <w:b w:val="0"/>
          <w:color w:val="000000"/>
          <w:sz w:val="24"/>
          <w:highlight w:val="none"/>
          <w:u w:color="auto"/>
          <w:lang w:eastAsia="zh-CN"/>
        </w:rPr>
        <w:t>学校</w:t>
      </w:r>
      <w:r>
        <w:rPr>
          <w:rFonts w:hint="default" w:ascii="Times New Roman" w:hAnsi="Times New Roman" w:cs="Times New Roman"/>
          <w:b w:val="0"/>
          <w:color w:val="000000"/>
          <w:sz w:val="24"/>
          <w:highlight w:val="none"/>
          <w:u w:color="auto"/>
          <w:lang w:eastAsia="zh-CN"/>
        </w:rPr>
        <w:t>近</w:t>
      </w:r>
      <w:r>
        <w:rPr>
          <w:rFonts w:hint="eastAsia" w:ascii="Times New Roman" w:hAnsi="Times New Roman" w:eastAsia="宋体" w:cs="Times New Roman"/>
          <w:b w:val="0"/>
          <w:color w:val="000000"/>
          <w:sz w:val="24"/>
          <w:highlight w:val="none"/>
          <w:u w:color="auto"/>
          <w:lang w:val="en-US" w:eastAsia="zh-CN"/>
        </w:rPr>
        <w:t>两</w:t>
      </w:r>
      <w:r>
        <w:rPr>
          <w:rFonts w:hint="default" w:ascii="Times New Roman" w:hAnsi="Times New Roman" w:cs="Times New Roman"/>
          <w:b w:val="0"/>
          <w:color w:val="000000"/>
          <w:sz w:val="24"/>
          <w:highlight w:val="none"/>
          <w:u w:color="auto"/>
          <w:lang w:eastAsia="zh-CN"/>
        </w:rPr>
        <w:t>届毕业生在省内就业的比例均在</w:t>
      </w:r>
      <w:r>
        <w:rPr>
          <w:rFonts w:hint="eastAsia" w:ascii="Times New Roman" w:hAnsi="Times New Roman" w:cs="Times New Roman"/>
          <w:b w:val="0"/>
          <w:color w:val="000000"/>
          <w:sz w:val="24"/>
          <w:highlight w:val="none"/>
          <w:u w:color="auto"/>
          <w:lang w:val="en-US" w:eastAsia="zh-CN"/>
        </w:rPr>
        <w:t>64</w:t>
      </w:r>
      <w:r>
        <w:rPr>
          <w:rFonts w:hint="default" w:ascii="Times New Roman" w:hAnsi="Times New Roman" w:cs="Times New Roman"/>
          <w:b w:val="0"/>
          <w:color w:val="000000"/>
          <w:sz w:val="24"/>
          <w:highlight w:val="none"/>
          <w:u w:color="auto"/>
          <w:lang w:eastAsia="zh-CN"/>
        </w:rPr>
        <w:t>.00%以上，其中202</w:t>
      </w:r>
      <w:r>
        <w:rPr>
          <w:rFonts w:hint="eastAsia" w:ascii="Times New Roman" w:hAnsi="Times New Roman" w:cs="Times New Roman"/>
          <w:b w:val="0"/>
          <w:color w:val="000000"/>
          <w:sz w:val="24"/>
          <w:highlight w:val="none"/>
          <w:u w:color="auto"/>
          <w:lang w:val="en-US" w:eastAsia="zh-CN"/>
        </w:rPr>
        <w:t>3届</w:t>
      </w:r>
      <w:r>
        <w:rPr>
          <w:rFonts w:hint="default" w:ascii="Times New Roman" w:hAnsi="Times New Roman" w:cs="Times New Roman"/>
          <w:b w:val="0"/>
          <w:color w:val="000000"/>
          <w:sz w:val="24"/>
          <w:highlight w:val="none"/>
          <w:u w:color="auto"/>
          <w:lang w:eastAsia="zh-CN"/>
        </w:rPr>
        <w:t>毕业生省内就业占比为</w:t>
      </w:r>
      <w:r>
        <w:rPr>
          <w:rFonts w:hint="eastAsia" w:ascii="Times New Roman" w:hAnsi="Times New Roman" w:cs="Times New Roman"/>
          <w:b w:val="0"/>
          <w:color w:val="000000"/>
          <w:sz w:val="24"/>
          <w:highlight w:val="none"/>
          <w:u w:color="auto"/>
          <w:lang w:val="en-US" w:eastAsia="zh-CN"/>
        </w:rPr>
        <w:t>78.87</w:t>
      </w:r>
      <w:r>
        <w:rPr>
          <w:rFonts w:hint="default" w:ascii="Times New Roman" w:hAnsi="Times New Roman" w:cs="Times New Roman"/>
          <w:b w:val="0"/>
          <w:color w:val="000000"/>
          <w:sz w:val="24"/>
          <w:highlight w:val="none"/>
          <w:u w:color="auto"/>
          <w:lang w:eastAsia="zh-CN"/>
        </w:rPr>
        <w:t>%，这一流向与</w:t>
      </w:r>
      <w:r>
        <w:rPr>
          <w:rFonts w:hint="eastAsia" w:ascii="Times New Roman" w:hAnsi="Times New Roman" w:cs="Times New Roman"/>
          <w:b w:val="0"/>
          <w:color w:val="000000"/>
          <w:sz w:val="24"/>
          <w:highlight w:val="none"/>
          <w:u w:color="auto"/>
          <w:lang w:eastAsia="zh-CN"/>
        </w:rPr>
        <w:t>学校</w:t>
      </w:r>
      <w:r>
        <w:rPr>
          <w:rFonts w:hint="default" w:ascii="Times New Roman" w:hAnsi="Times New Roman" w:cs="Times New Roman"/>
          <w:b w:val="0"/>
          <w:color w:val="000000"/>
          <w:sz w:val="24"/>
          <w:highlight w:val="none"/>
          <w:u w:color="auto"/>
          <w:lang w:eastAsia="zh-CN"/>
        </w:rPr>
        <w:t>的定位相契合，为本地区的经济和社会发展提供了持续的人才支持和智力支撑。</w:t>
      </w:r>
    </w:p>
    <w:p>
      <w:pPr>
        <w:jc w:val="center"/>
        <w:rPr>
          <w:rFonts w:ascii="Times New Roman" w:hAnsi="Times New Roman" w:eastAsia="宋体"/>
          <w:highlight w:val="none"/>
        </w:rPr>
      </w:pPr>
      <w:r>
        <w:rPr>
          <w:rFonts w:hint="eastAsia" w:ascii="Times New Roman" w:hAnsi="Times New Roman" w:eastAsia="宋体"/>
          <w:highlight w:val="none"/>
          <w:lang w:eastAsia="zh-CN"/>
        </w:rPr>
        <w:drawing>
          <wp:inline distT="0" distB="0" distL="114300" distR="114300">
            <wp:extent cx="4444365" cy="2405380"/>
            <wp:effectExtent l="0" t="0" r="13335" b="13970"/>
            <wp:docPr id="99" name="图表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spacing w:line="360" w:lineRule="auto"/>
        <w:jc w:val="center"/>
        <w:rPr>
          <w:rFonts w:hint="default" w:ascii="Times New Roman" w:hAnsi="Times New Roman" w:eastAsia="黑体" w:cs="Times New Roman"/>
          <w:b/>
          <w:color w:val="0F6FC6"/>
          <w:sz w:val="21"/>
          <w:u w:color="auto"/>
        </w:rPr>
      </w:pPr>
      <w:r>
        <w:rPr>
          <w:rFonts w:hint="default" w:ascii="Times New Roman" w:hAnsi="Times New Roman" w:eastAsia="黑体" w:cs="Times New Roman"/>
          <w:b/>
          <w:color w:val="0F6FC6"/>
          <w:sz w:val="21"/>
          <w:u w:color="auto"/>
        </w:rPr>
        <w:t>图</w:t>
      </w:r>
      <w:r>
        <w:rPr>
          <w:rFonts w:hint="eastAsia" w:ascii="Times New Roman" w:hAnsi="Times New Roman" w:eastAsia="黑体" w:cs="Times New Roman"/>
          <w:b/>
          <w:color w:val="0F6FC6"/>
          <w:sz w:val="21"/>
          <w:u w:color="auto"/>
          <w:lang w:val="en-US" w:eastAsia="zh-CN"/>
        </w:rPr>
        <w:t>6</w:t>
      </w:r>
      <w:r>
        <w:rPr>
          <w:rFonts w:hint="default" w:ascii="Times New Roman" w:hAnsi="Times New Roman" w:eastAsia="黑体" w:cs="Times New Roman"/>
          <w:b/>
          <w:color w:val="0F6FC6"/>
          <w:sz w:val="21"/>
          <w:u w:color="auto"/>
        </w:rPr>
        <w:t>-2  202</w:t>
      </w:r>
      <w:r>
        <w:rPr>
          <w:rFonts w:hint="eastAsia" w:ascii="Times New Roman" w:hAnsi="Times New Roman" w:eastAsia="黑体" w:cs="Times New Roman"/>
          <w:b/>
          <w:color w:val="0F6FC6"/>
          <w:sz w:val="21"/>
          <w:u w:color="auto"/>
          <w:lang w:val="en-US" w:eastAsia="zh-CN"/>
        </w:rPr>
        <w:t>1届</w:t>
      </w:r>
      <w:r>
        <w:rPr>
          <w:rFonts w:hint="default" w:ascii="Times New Roman" w:hAnsi="Times New Roman" w:eastAsia="黑体" w:cs="Times New Roman"/>
          <w:b/>
          <w:color w:val="0F6FC6"/>
          <w:sz w:val="21"/>
          <w:u w:color="auto"/>
        </w:rPr>
        <w:t>-</w:t>
      </w:r>
      <w:r>
        <w:rPr>
          <w:rFonts w:hint="eastAsia" w:ascii="Times New Roman" w:hAnsi="Times New Roman" w:eastAsia="黑体" w:cs="Times New Roman"/>
          <w:b/>
          <w:color w:val="0F6FC6"/>
          <w:sz w:val="21"/>
          <w:u w:color="auto"/>
          <w:lang w:eastAsia="zh-CN"/>
        </w:rPr>
        <w:t>2023届</w:t>
      </w:r>
      <w:r>
        <w:rPr>
          <w:rFonts w:hint="default" w:ascii="Times New Roman" w:hAnsi="Times New Roman" w:eastAsia="黑体" w:cs="Times New Roman"/>
          <w:b/>
          <w:color w:val="0F6FC6"/>
          <w:sz w:val="21"/>
          <w:u w:color="auto"/>
        </w:rPr>
        <w:t>毕业生省内就业比例变化趋势</w:t>
      </w:r>
    </w:p>
    <w:p>
      <w:pPr>
        <w:spacing w:after="100" w:line="240" w:lineRule="auto"/>
        <w:rPr>
          <w:rFonts w:hint="eastAsia" w:ascii="Times New Roman" w:hAnsi="Times New Roman" w:eastAsia="宋体" w:cs="Times New Roman"/>
          <w:color w:val="0F6FC6"/>
          <w:sz w:val="18"/>
          <w:u w:color="auto"/>
          <w:lang w:eastAsia="zh-CN"/>
        </w:rPr>
      </w:pPr>
      <w:r>
        <w:rPr>
          <w:rFonts w:hint="eastAsia" w:ascii="Times New Roman" w:hAnsi="Times New Roman" w:eastAsia="宋体" w:cs="Times New Roman"/>
          <w:color w:val="0F6FC6"/>
          <w:sz w:val="18"/>
          <w:u w:color="auto"/>
          <w:lang w:eastAsia="zh-CN"/>
        </w:rPr>
        <w:t>数据来源：</w:t>
      </w:r>
      <w:r>
        <w:rPr>
          <w:rFonts w:hint="eastAsia" w:ascii="Times New Roman" w:hAnsi="Times New Roman" w:eastAsia="宋体" w:cs="Times New Roman"/>
          <w:color w:val="0F6FC6"/>
          <w:sz w:val="18"/>
          <w:u w:color="auto"/>
          <w:lang w:val="en-US" w:eastAsia="zh-CN"/>
        </w:rPr>
        <w:t>1.2021届-2022届数据来自</w:t>
      </w:r>
      <w:r>
        <w:rPr>
          <w:rFonts w:hint="eastAsia" w:ascii="Times New Roman" w:hAnsi="Times New Roman" w:eastAsia="宋体" w:cs="Times New Roman"/>
          <w:color w:val="0F6FC6"/>
          <w:sz w:val="18"/>
          <w:u w:color="auto"/>
          <w:lang w:eastAsia="zh-CN"/>
        </w:rPr>
        <w:t>《</w:t>
      </w:r>
      <w:r>
        <w:rPr>
          <w:rFonts w:hint="eastAsia" w:ascii="Times New Roman" w:hAnsi="Times New Roman" w:eastAsia="宋体" w:cs="Times New Roman"/>
          <w:color w:val="0F6FC6"/>
          <w:sz w:val="18"/>
          <w:u w:color="auto"/>
          <w:lang w:val="en-US" w:eastAsia="zh-CN"/>
        </w:rPr>
        <w:t>晋中学院2022</w:t>
      </w:r>
      <w:r>
        <w:rPr>
          <w:rFonts w:hint="eastAsia" w:ascii="Times New Roman" w:hAnsi="Times New Roman" w:eastAsia="宋体" w:cs="Times New Roman"/>
          <w:color w:val="0F6FC6"/>
          <w:sz w:val="18"/>
          <w:u w:color="auto"/>
          <w:lang w:eastAsia="zh-CN"/>
        </w:rPr>
        <w:t>届就业质量年度报告》</w:t>
      </w:r>
    </w:p>
    <w:p>
      <w:pPr>
        <w:spacing w:after="100" w:line="240" w:lineRule="auto"/>
        <w:ind w:firstLine="900" w:firstLineChars="500"/>
        <w:rPr>
          <w:rFonts w:hint="default" w:ascii="Times New Roman" w:hAnsi="Times New Roman" w:cs="Times New Roman"/>
        </w:rPr>
      </w:pPr>
      <w:r>
        <w:rPr>
          <w:rFonts w:hint="eastAsia" w:ascii="Times New Roman" w:hAnsi="Times New Roman" w:eastAsia="宋体" w:cs="Times New Roman"/>
          <w:color w:val="0F6FC6"/>
          <w:sz w:val="18"/>
          <w:u w:color="auto"/>
          <w:lang w:val="en-US" w:eastAsia="zh-CN"/>
        </w:rPr>
        <w:t>2.2023届数据来自晋中学院就业信息管理系统</w:t>
      </w:r>
      <w:r>
        <w:rPr>
          <w:rFonts w:hint="eastAsia" w:ascii="Times New Roman" w:hAnsi="Times New Roman" w:eastAsia="宋体" w:cs="Times New Roman"/>
          <w:color w:val="0F6FC6"/>
          <w:sz w:val="18"/>
          <w:u w:color="auto"/>
          <w:lang w:eastAsia="zh-CN"/>
        </w:rPr>
        <w:t>。</w:t>
      </w:r>
    </w:p>
    <w:p>
      <w:pPr>
        <w:numPr>
          <w:ilvl w:val="1"/>
          <w:numId w:val="59"/>
        </w:numPr>
        <w:shd w:val="clear" w:color="auto" w:fill="FFFFFF"/>
        <w:spacing w:before="15" w:after="15" w:line="360" w:lineRule="auto"/>
        <w:jc w:val="left"/>
        <w:outlineLvl w:val="1"/>
        <w:rPr>
          <w:rFonts w:hint="default" w:ascii="Times New Roman" w:hAnsi="Times New Roman" w:cs="Times New Roman"/>
        </w:rPr>
      </w:pPr>
      <w:bookmarkStart w:id="76" w:name="_Toc13897"/>
      <w:r>
        <w:rPr>
          <w:rFonts w:hint="default" w:ascii="Times New Roman" w:hAnsi="Times New Roman" w:eastAsia="黑体" w:cs="Times New Roman"/>
          <w:b/>
          <w:color w:val="0F6FC6"/>
          <w:sz w:val="30"/>
          <w:u w:color="auto"/>
        </w:rPr>
        <w:t>三、就业行业变化趋势</w:t>
      </w:r>
      <w:bookmarkEnd w:id="76"/>
    </w:p>
    <w:p>
      <w:pPr>
        <w:keepNext w:val="0"/>
        <w:keepLines w:val="0"/>
        <w:pageBreakBefore w:val="0"/>
        <w:widowControl w:val="0"/>
        <w:numPr>
          <w:ilvl w:val="0"/>
          <w:numId w:val="0"/>
        </w:numPr>
        <w:kinsoku/>
        <w:wordWrap/>
        <w:overflowPunct/>
        <w:topLinePunct w:val="0"/>
        <w:autoSpaceDE/>
        <w:autoSpaceDN/>
        <w:bidi w:val="0"/>
        <w:adjustRightInd/>
        <w:snapToGrid/>
        <w:spacing w:before="10" w:after="10" w:line="360" w:lineRule="auto"/>
        <w:ind w:firstLine="480" w:firstLineChars="200"/>
        <w:textAlignment w:val="auto"/>
        <w:rPr>
          <w:rFonts w:ascii="Times New Roman" w:hAnsi="Times New Roman" w:eastAsia="宋体"/>
          <w:highlight w:val="none"/>
        </w:rPr>
      </w:pPr>
      <w:r>
        <w:rPr>
          <w:rFonts w:hint="eastAsia" w:ascii="Times New Roman" w:hAnsi="Times New Roman" w:eastAsia="宋体" w:cs="宋体"/>
          <w:bCs/>
          <w:caps w:val="0"/>
          <w:color w:val="000000"/>
          <w:sz w:val="24"/>
          <w:szCs w:val="30"/>
          <w:highlight w:val="none"/>
          <w:lang w:val="zh-CN" w:eastAsia="zh-CN" w:bidi="ar-SA"/>
        </w:rPr>
        <w:t>近年来，毕业生的就业行业分布</w:t>
      </w:r>
      <w:r>
        <w:rPr>
          <w:rFonts w:hint="eastAsia" w:ascii="Times New Roman" w:hAnsi="Times New Roman" w:eastAsia="宋体" w:cs="宋体"/>
          <w:bCs/>
          <w:caps w:val="0"/>
          <w:color w:val="000000"/>
          <w:sz w:val="24"/>
          <w:szCs w:val="30"/>
          <w:highlight w:val="none"/>
          <w:lang w:val="en-US" w:eastAsia="zh-CN" w:bidi="ar-SA"/>
        </w:rPr>
        <w:t>以</w:t>
      </w:r>
      <w:r>
        <w:rPr>
          <w:rFonts w:hint="eastAsia" w:eastAsia="宋体" w:cs="宋体"/>
          <w:bCs/>
          <w:caps w:val="0"/>
          <w:color w:val="000000"/>
          <w:sz w:val="24"/>
          <w:szCs w:val="30"/>
          <w:highlight w:val="none"/>
          <w:lang w:val="zh-CN" w:eastAsia="zh-CN" w:bidi="ar-SA"/>
        </w:rPr>
        <w:t>“</w:t>
      </w:r>
      <w:r>
        <w:rPr>
          <w:rFonts w:hint="eastAsia" w:cs="宋体"/>
          <w:bCs/>
          <w:caps w:val="0"/>
          <w:color w:val="000000"/>
          <w:sz w:val="24"/>
          <w:szCs w:val="30"/>
          <w:highlight w:val="none"/>
          <w:lang w:val="en-US" w:eastAsia="zh-CN" w:bidi="ar-SA"/>
        </w:rPr>
        <w:t>文化、体育和娱乐业</w:t>
      </w:r>
      <w:r>
        <w:rPr>
          <w:rFonts w:hint="eastAsia" w:eastAsia="宋体" w:cs="宋体"/>
          <w:bCs/>
          <w:caps w:val="0"/>
          <w:color w:val="000000"/>
          <w:sz w:val="24"/>
          <w:szCs w:val="30"/>
          <w:highlight w:val="none"/>
          <w:lang w:val="zh-CN" w:eastAsia="zh-CN" w:bidi="ar-SA"/>
        </w:rPr>
        <w:t>”</w:t>
      </w:r>
      <w:r>
        <w:rPr>
          <w:rFonts w:hint="eastAsia" w:ascii="Times New Roman" w:hAnsi="Times New Roman" w:eastAsia="宋体" w:cs="宋体"/>
          <w:bCs/>
          <w:caps w:val="0"/>
          <w:color w:val="000000"/>
          <w:sz w:val="24"/>
          <w:szCs w:val="30"/>
          <w:highlight w:val="none"/>
          <w:lang w:val="en-US" w:eastAsia="zh-CN" w:bidi="ar-SA"/>
        </w:rPr>
        <w:t>、</w:t>
      </w:r>
      <w:r>
        <w:rPr>
          <w:rFonts w:hint="eastAsia" w:eastAsia="宋体" w:cs="宋体"/>
          <w:bCs/>
          <w:caps w:val="0"/>
          <w:color w:val="000000"/>
          <w:sz w:val="24"/>
          <w:szCs w:val="30"/>
          <w:highlight w:val="none"/>
          <w:lang w:val="en-US" w:eastAsia="zh-CN" w:bidi="ar-SA"/>
        </w:rPr>
        <w:t>“</w:t>
      </w:r>
      <w:r>
        <w:rPr>
          <w:rFonts w:hint="eastAsia" w:cs="宋体"/>
          <w:bCs/>
          <w:caps w:val="0"/>
          <w:color w:val="000000"/>
          <w:sz w:val="24"/>
          <w:szCs w:val="30"/>
          <w:highlight w:val="none"/>
          <w:lang w:val="en-US" w:eastAsia="zh-CN" w:bidi="ar-SA"/>
        </w:rPr>
        <w:t>信息传输、软件和信息技术服务业</w:t>
      </w:r>
      <w:r>
        <w:rPr>
          <w:rFonts w:hint="eastAsia" w:eastAsia="宋体" w:cs="宋体"/>
          <w:bCs/>
          <w:caps w:val="0"/>
          <w:color w:val="000000"/>
          <w:sz w:val="24"/>
          <w:szCs w:val="30"/>
          <w:highlight w:val="none"/>
          <w:lang w:val="en-US" w:eastAsia="zh-CN" w:bidi="ar-SA"/>
        </w:rPr>
        <w:t>”</w:t>
      </w:r>
      <w:r>
        <w:rPr>
          <w:rFonts w:hint="eastAsia" w:ascii="Times New Roman" w:hAnsi="Times New Roman" w:eastAsia="宋体" w:cs="宋体"/>
          <w:bCs/>
          <w:caps w:val="0"/>
          <w:color w:val="000000"/>
          <w:sz w:val="24"/>
          <w:szCs w:val="30"/>
          <w:highlight w:val="none"/>
          <w:lang w:val="en-US" w:eastAsia="zh-CN" w:bidi="ar-SA"/>
        </w:rPr>
        <w:t>和</w:t>
      </w:r>
      <w:r>
        <w:rPr>
          <w:rFonts w:hint="eastAsia" w:eastAsia="宋体" w:cs="宋体"/>
          <w:bCs/>
          <w:caps w:val="0"/>
          <w:color w:val="000000"/>
          <w:sz w:val="24"/>
          <w:szCs w:val="30"/>
          <w:highlight w:val="none"/>
          <w:lang w:val="en-US" w:eastAsia="zh-CN" w:bidi="ar-SA"/>
        </w:rPr>
        <w:t>“</w:t>
      </w:r>
      <w:r>
        <w:rPr>
          <w:rFonts w:hint="eastAsia" w:cs="宋体"/>
          <w:bCs/>
          <w:caps w:val="0"/>
          <w:color w:val="000000"/>
          <w:sz w:val="24"/>
          <w:szCs w:val="30"/>
          <w:highlight w:val="none"/>
          <w:lang w:val="en-US" w:eastAsia="zh-CN" w:bidi="ar-SA"/>
        </w:rPr>
        <w:t>教育</w:t>
      </w:r>
      <w:r>
        <w:rPr>
          <w:rFonts w:hint="eastAsia" w:eastAsia="宋体" w:cs="宋体"/>
          <w:bCs/>
          <w:caps w:val="0"/>
          <w:color w:val="000000"/>
          <w:sz w:val="24"/>
          <w:szCs w:val="30"/>
          <w:highlight w:val="none"/>
          <w:lang w:val="en-US" w:eastAsia="zh-CN" w:bidi="ar-SA"/>
        </w:rPr>
        <w:t>”</w:t>
      </w:r>
      <w:r>
        <w:rPr>
          <w:rFonts w:hint="eastAsia" w:ascii="Times New Roman" w:hAnsi="Times New Roman" w:eastAsia="宋体" w:cs="宋体"/>
          <w:bCs/>
          <w:caps w:val="0"/>
          <w:color w:val="000000"/>
          <w:sz w:val="24"/>
          <w:szCs w:val="30"/>
          <w:highlight w:val="none"/>
          <w:lang w:val="en-US" w:eastAsia="zh-CN" w:bidi="ar-SA"/>
        </w:rPr>
        <w:t>为主，三者</w:t>
      </w:r>
      <w:r>
        <w:rPr>
          <w:rFonts w:hint="eastAsia" w:ascii="Times New Roman" w:hAnsi="Times New Roman" w:eastAsia="宋体" w:cs="宋体"/>
          <w:bCs/>
          <w:caps w:val="0"/>
          <w:color w:val="000000"/>
          <w:sz w:val="24"/>
          <w:szCs w:val="30"/>
          <w:highlight w:val="none"/>
          <w:lang w:val="zh-CN" w:eastAsia="zh-CN" w:bidi="ar-SA"/>
        </w:rPr>
        <w:t>占比</w:t>
      </w:r>
      <w:r>
        <w:rPr>
          <w:rFonts w:hint="eastAsia" w:ascii="Times New Roman" w:hAnsi="Times New Roman" w:eastAsia="宋体" w:cs="宋体"/>
          <w:bCs/>
          <w:caps w:val="0"/>
          <w:color w:val="000000"/>
          <w:sz w:val="24"/>
          <w:szCs w:val="30"/>
          <w:highlight w:val="none"/>
          <w:lang w:val="en-US" w:eastAsia="zh-CN" w:bidi="ar-SA"/>
        </w:rPr>
        <w:t>之和</w:t>
      </w:r>
      <w:r>
        <w:rPr>
          <w:rFonts w:hint="eastAsia" w:ascii="Times New Roman" w:hAnsi="Times New Roman" w:eastAsia="宋体" w:cs="宋体"/>
          <w:bCs/>
          <w:caps w:val="0"/>
          <w:color w:val="000000"/>
          <w:sz w:val="24"/>
          <w:szCs w:val="30"/>
          <w:highlight w:val="none"/>
          <w:lang w:val="zh-CN" w:eastAsia="zh-CN" w:bidi="ar-SA"/>
        </w:rPr>
        <w:t>在</w:t>
      </w:r>
      <w:r>
        <w:rPr>
          <w:rFonts w:hint="eastAsia" w:cs="宋体"/>
          <w:bCs/>
          <w:caps w:val="0"/>
          <w:color w:val="000000"/>
          <w:sz w:val="24"/>
          <w:szCs w:val="30"/>
          <w:highlight w:val="none"/>
          <w:lang w:val="en-US" w:eastAsia="zh-CN" w:bidi="ar-SA"/>
        </w:rPr>
        <w:t>34</w:t>
      </w:r>
      <w:r>
        <w:rPr>
          <w:rFonts w:hint="eastAsia" w:ascii="Times New Roman" w:hAnsi="Times New Roman" w:eastAsia="宋体" w:cs="宋体"/>
          <w:bCs/>
          <w:caps w:val="0"/>
          <w:color w:val="000000"/>
          <w:sz w:val="24"/>
          <w:szCs w:val="30"/>
          <w:highlight w:val="none"/>
          <w:lang w:val="en-US" w:eastAsia="zh-CN" w:bidi="ar-SA"/>
        </w:rPr>
        <w:t>.00</w:t>
      </w:r>
      <w:r>
        <w:rPr>
          <w:rFonts w:hint="eastAsia" w:ascii="Times New Roman" w:hAnsi="Times New Roman" w:eastAsia="宋体" w:cs="宋体"/>
          <w:bCs/>
          <w:caps w:val="0"/>
          <w:color w:val="000000"/>
          <w:sz w:val="24"/>
          <w:szCs w:val="30"/>
          <w:highlight w:val="none"/>
          <w:lang w:val="zh-CN" w:eastAsia="zh-CN" w:bidi="ar-SA"/>
        </w:rPr>
        <w:t>%以上</w:t>
      </w:r>
      <w:r>
        <w:rPr>
          <w:rFonts w:hint="eastAsia" w:ascii="Times New Roman" w:hAnsi="Times New Roman" w:eastAsia="宋体" w:cs="宋体"/>
          <w:bCs/>
          <w:caps w:val="0"/>
          <w:color w:val="000000"/>
          <w:sz w:val="24"/>
          <w:szCs w:val="30"/>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10" w:after="10" w:line="360" w:lineRule="auto"/>
        <w:ind w:firstLine="480" w:firstLineChars="200"/>
        <w:jc w:val="center"/>
        <w:textAlignment w:val="auto"/>
        <w:rPr>
          <w:rFonts w:hint="eastAsia" w:ascii="Times New Roman" w:hAnsi="Times New Roman" w:eastAsia="宋体" w:cs="宋体"/>
          <w:bCs/>
          <w:caps w:val="0"/>
          <w:color w:val="000000"/>
          <w:sz w:val="24"/>
          <w:szCs w:val="30"/>
          <w:highlight w:val="none"/>
          <w:lang w:val="en-US" w:eastAsia="zh-CN" w:bidi="ar-SA"/>
        </w:rPr>
      </w:pPr>
      <w:r>
        <w:rPr>
          <w:rFonts w:hint="eastAsia" w:ascii="Times New Roman" w:hAnsi="Times New Roman" w:eastAsia="宋体" w:cs="宋体"/>
          <w:bCs/>
          <w:caps w:val="0"/>
          <w:color w:val="000000"/>
          <w:sz w:val="24"/>
          <w:szCs w:val="30"/>
          <w:highlight w:val="none"/>
          <w:lang w:val="en-US" w:eastAsia="zh-CN" w:bidi="ar-SA"/>
        </w:rPr>
        <w:drawing>
          <wp:inline distT="0" distB="0" distL="114300" distR="114300">
            <wp:extent cx="4991735" cy="2733040"/>
            <wp:effectExtent l="0" t="0" r="18415" b="10160"/>
            <wp:docPr id="105" name="图表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spacing w:line="360" w:lineRule="auto"/>
        <w:jc w:val="center"/>
        <w:rPr>
          <w:rFonts w:hint="default" w:ascii="Times New Roman" w:hAnsi="Times New Roman" w:cs="Times New Roman"/>
          <w:highlight w:val="none"/>
        </w:rPr>
      </w:pPr>
      <w:r>
        <w:rPr>
          <w:rFonts w:hint="default" w:ascii="Times New Roman" w:hAnsi="Times New Roman" w:eastAsia="黑体" w:cs="Times New Roman"/>
          <w:b/>
          <w:color w:val="0F6FC6"/>
          <w:sz w:val="21"/>
          <w:highlight w:val="none"/>
        </w:rPr>
        <w:t>图6-3  202</w:t>
      </w:r>
      <w:r>
        <w:rPr>
          <w:rFonts w:hint="eastAsia" w:ascii="Times New Roman" w:hAnsi="Times New Roman" w:eastAsia="黑体" w:cs="Times New Roman"/>
          <w:b/>
          <w:color w:val="0F6FC6"/>
          <w:sz w:val="21"/>
          <w:highlight w:val="none"/>
          <w:lang w:val="en-US" w:eastAsia="zh-CN"/>
        </w:rPr>
        <w:t>1</w:t>
      </w:r>
      <w:r>
        <w:rPr>
          <w:rFonts w:hint="default" w:ascii="Times New Roman" w:hAnsi="Times New Roman" w:eastAsia="黑体" w:cs="Times New Roman"/>
          <w:b/>
          <w:color w:val="0F6FC6"/>
          <w:sz w:val="21"/>
          <w:highlight w:val="none"/>
        </w:rPr>
        <w:t>-202</w:t>
      </w:r>
      <w:r>
        <w:rPr>
          <w:rFonts w:hint="eastAsia" w:ascii="Times New Roman" w:hAnsi="Times New Roman" w:eastAsia="黑体" w:cs="Times New Roman"/>
          <w:b/>
          <w:color w:val="0F6FC6"/>
          <w:sz w:val="21"/>
          <w:highlight w:val="none"/>
          <w:lang w:val="en-US" w:eastAsia="zh-CN"/>
        </w:rPr>
        <w:t>3</w:t>
      </w:r>
      <w:r>
        <w:rPr>
          <w:rFonts w:hint="default" w:ascii="Times New Roman" w:hAnsi="Times New Roman" w:eastAsia="黑体" w:cs="Times New Roman"/>
          <w:b/>
          <w:color w:val="0F6FC6"/>
          <w:sz w:val="21"/>
          <w:highlight w:val="none"/>
        </w:rPr>
        <w:t>届毕业生</w:t>
      </w:r>
      <w:r>
        <w:rPr>
          <w:rFonts w:hint="eastAsia" w:eastAsia="黑体" w:cs="Times New Roman"/>
          <w:b/>
          <w:color w:val="0F6FC6"/>
          <w:sz w:val="21"/>
          <w:highlight w:val="none"/>
          <w:lang w:val="en-US" w:eastAsia="zh-CN"/>
        </w:rPr>
        <w:t>就业</w:t>
      </w:r>
      <w:r>
        <w:rPr>
          <w:rFonts w:hint="default" w:ascii="Times New Roman" w:hAnsi="Times New Roman" w:eastAsia="黑体" w:cs="Times New Roman"/>
          <w:b/>
          <w:color w:val="0F6FC6"/>
          <w:sz w:val="21"/>
          <w:highlight w:val="none"/>
        </w:rPr>
        <w:t>行业变化趋势</w:t>
      </w:r>
    </w:p>
    <w:p>
      <w:pPr>
        <w:spacing w:after="100" w:line="240" w:lineRule="auto"/>
        <w:rPr>
          <w:rFonts w:hint="eastAsia" w:ascii="Times New Roman" w:hAnsi="Times New Roman" w:eastAsia="宋体" w:cs="Times New Roman"/>
          <w:color w:val="0F6FC6"/>
          <w:sz w:val="18"/>
          <w:u w:color="auto"/>
          <w:lang w:eastAsia="zh-CN"/>
        </w:rPr>
      </w:pPr>
      <w:r>
        <w:rPr>
          <w:rFonts w:hint="eastAsia" w:ascii="Times New Roman" w:hAnsi="Times New Roman" w:eastAsia="宋体" w:cs="Times New Roman"/>
          <w:color w:val="0F6FC6"/>
          <w:sz w:val="18"/>
          <w:u w:color="auto"/>
          <w:lang w:eastAsia="zh-CN"/>
        </w:rPr>
        <w:t>数据来源：</w:t>
      </w:r>
      <w:r>
        <w:rPr>
          <w:rFonts w:hint="eastAsia" w:ascii="Times New Roman" w:hAnsi="Times New Roman" w:eastAsia="宋体" w:cs="Times New Roman"/>
          <w:color w:val="0F6FC6"/>
          <w:sz w:val="18"/>
          <w:u w:color="auto"/>
          <w:lang w:val="en-US" w:eastAsia="zh-CN"/>
        </w:rPr>
        <w:t>1.2021届-2022届数据来自</w:t>
      </w:r>
      <w:r>
        <w:rPr>
          <w:rFonts w:hint="eastAsia" w:ascii="Times New Roman" w:hAnsi="Times New Roman" w:eastAsia="宋体" w:cs="Times New Roman"/>
          <w:color w:val="0F6FC6"/>
          <w:sz w:val="18"/>
          <w:u w:color="auto"/>
          <w:lang w:eastAsia="zh-CN"/>
        </w:rPr>
        <w:t>《</w:t>
      </w:r>
      <w:r>
        <w:rPr>
          <w:rFonts w:hint="eastAsia" w:cs="Times New Roman"/>
          <w:color w:val="0F6FC6"/>
          <w:sz w:val="18"/>
          <w:u w:color="auto"/>
          <w:lang w:val="en-US" w:eastAsia="zh-CN"/>
        </w:rPr>
        <w:t>晋中学院</w:t>
      </w:r>
      <w:r>
        <w:rPr>
          <w:rFonts w:hint="eastAsia" w:ascii="Times New Roman" w:hAnsi="Times New Roman" w:eastAsia="宋体" w:cs="Times New Roman"/>
          <w:color w:val="0F6FC6"/>
          <w:sz w:val="18"/>
          <w:u w:color="auto"/>
          <w:lang w:val="en-US" w:eastAsia="zh-CN"/>
        </w:rPr>
        <w:t>2022</w:t>
      </w:r>
      <w:r>
        <w:rPr>
          <w:rFonts w:hint="eastAsia" w:ascii="Times New Roman" w:hAnsi="Times New Roman" w:eastAsia="宋体" w:cs="Times New Roman"/>
          <w:color w:val="0F6FC6"/>
          <w:sz w:val="18"/>
          <w:u w:color="auto"/>
          <w:lang w:eastAsia="zh-CN"/>
        </w:rPr>
        <w:t>届就业质量年度报告》</w:t>
      </w:r>
    </w:p>
    <w:p>
      <w:pPr>
        <w:spacing w:after="100" w:line="240" w:lineRule="auto"/>
        <w:ind w:firstLine="900" w:firstLineChars="500"/>
      </w:pPr>
      <w:r>
        <w:rPr>
          <w:rFonts w:hint="eastAsia" w:ascii="Times New Roman" w:hAnsi="Times New Roman" w:eastAsia="宋体" w:cs="Times New Roman"/>
          <w:color w:val="0F6FC6"/>
          <w:sz w:val="18"/>
          <w:u w:color="auto"/>
          <w:lang w:val="en-US" w:eastAsia="zh-CN"/>
        </w:rPr>
        <w:t>2.2023届数据来自</w:t>
      </w:r>
      <w:r>
        <w:rPr>
          <w:rFonts w:hint="eastAsia" w:cs="Times New Roman"/>
          <w:color w:val="0F6FC6"/>
          <w:sz w:val="18"/>
          <w:u w:color="auto"/>
          <w:lang w:val="en-US" w:eastAsia="zh-CN"/>
        </w:rPr>
        <w:t>晋中学院</w:t>
      </w:r>
      <w:r>
        <w:rPr>
          <w:rFonts w:hint="eastAsia" w:ascii="Times New Roman" w:hAnsi="Times New Roman" w:eastAsia="宋体" w:cs="Times New Roman"/>
          <w:color w:val="0F6FC6"/>
          <w:sz w:val="18"/>
          <w:u w:color="auto"/>
          <w:lang w:val="en-US" w:eastAsia="zh-CN"/>
        </w:rPr>
        <w:t>就业信息管理系统</w:t>
      </w:r>
      <w:r>
        <w:rPr>
          <w:rFonts w:hint="eastAsia" w:ascii="Times New Roman" w:hAnsi="Times New Roman" w:eastAsia="宋体" w:cs="Times New Roman"/>
          <w:color w:val="0F6FC6"/>
          <w:sz w:val="18"/>
          <w:u w:color="auto"/>
          <w:lang w:eastAsia="zh-CN"/>
        </w:rPr>
        <w:t>。</w:t>
      </w:r>
    </w:p>
    <w:p>
      <w:pPr>
        <w:numPr>
          <w:ilvl w:val="1"/>
          <w:numId w:val="60"/>
        </w:numPr>
        <w:shd w:val="clear" w:color="auto" w:fill="FFFFFF"/>
        <w:spacing w:before="15" w:after="15" w:line="360" w:lineRule="auto"/>
        <w:jc w:val="left"/>
        <w:outlineLvl w:val="1"/>
        <w:rPr>
          <w:rFonts w:hint="default" w:ascii="Times New Roman" w:hAnsi="Times New Roman" w:cs="Times New Roman"/>
        </w:rPr>
      </w:pPr>
      <w:bookmarkStart w:id="77" w:name="_Toc3698"/>
      <w:r>
        <w:rPr>
          <w:rFonts w:hint="eastAsia" w:eastAsia="黑体" w:cs="Times New Roman"/>
          <w:b/>
          <w:color w:val="0F6FC6"/>
          <w:sz w:val="30"/>
          <w:u w:color="auto"/>
          <w:lang w:val="en-US" w:eastAsia="zh-CN"/>
        </w:rPr>
        <w:t>四</w:t>
      </w:r>
      <w:r>
        <w:rPr>
          <w:rFonts w:hint="default" w:ascii="Times New Roman" w:hAnsi="Times New Roman" w:eastAsia="黑体" w:cs="Times New Roman"/>
          <w:b/>
          <w:color w:val="0F6FC6"/>
          <w:sz w:val="30"/>
          <w:u w:color="auto"/>
        </w:rPr>
        <w:t>、用人单位变化趋势</w:t>
      </w:r>
      <w:bookmarkEnd w:id="77"/>
    </w:p>
    <w:p>
      <w:pPr>
        <w:keepNext w:val="0"/>
        <w:keepLines w:val="0"/>
        <w:pageBreakBefore w:val="0"/>
        <w:widowControl w:val="0"/>
        <w:numPr>
          <w:ilvl w:val="1"/>
          <w:numId w:val="61"/>
        </w:numPr>
        <w:kinsoku/>
        <w:wordWrap/>
        <w:overflowPunct/>
        <w:topLinePunct w:val="0"/>
        <w:autoSpaceDE/>
        <w:autoSpaceDN/>
        <w:bidi w:val="0"/>
        <w:adjustRightInd/>
        <w:snapToGrid/>
        <w:spacing w:before="10" w:after="10" w:line="360" w:lineRule="auto"/>
        <w:ind w:firstLine="480" w:firstLineChars="200"/>
        <w:textAlignment w:val="auto"/>
        <w:rPr>
          <w:rFonts w:ascii="Times New Roman" w:hAnsi="Times New Roman" w:eastAsia="宋体"/>
          <w:highlight w:val="none"/>
        </w:rPr>
      </w:pPr>
      <w:r>
        <w:rPr>
          <w:rFonts w:hint="eastAsia" w:cs="宋体"/>
          <w:caps w:val="0"/>
          <w:sz w:val="24"/>
          <w:szCs w:val="24"/>
          <w:highlight w:val="none"/>
          <w:lang w:val="en-US" w:eastAsia="zh-CN"/>
        </w:rPr>
        <w:t>其他企业</w:t>
      </w:r>
      <w:r>
        <w:rPr>
          <w:rFonts w:hint="eastAsia" w:ascii="Times New Roman" w:hAnsi="Times New Roman" w:eastAsia="宋体" w:cs="宋体"/>
          <w:caps w:val="0"/>
          <w:sz w:val="24"/>
          <w:szCs w:val="24"/>
          <w:highlight w:val="none"/>
        </w:rPr>
        <w:t>为历届毕业生就业主战场，</w:t>
      </w:r>
      <w:r>
        <w:rPr>
          <w:rFonts w:hint="eastAsia" w:cs="宋体"/>
          <w:caps w:val="0"/>
          <w:sz w:val="24"/>
          <w:szCs w:val="24"/>
          <w:highlight w:val="none"/>
          <w:lang w:val="en-US" w:eastAsia="zh-CN"/>
        </w:rPr>
        <w:t>占比均在51.00%以上，</w:t>
      </w:r>
      <w:r>
        <w:rPr>
          <w:rFonts w:hint="eastAsia" w:ascii="Times New Roman" w:hAnsi="Times New Roman" w:eastAsia="宋体" w:cs="宋体"/>
          <w:bCs/>
          <w:caps w:val="0"/>
          <w:color w:val="000000"/>
          <w:sz w:val="24"/>
          <w:szCs w:val="30"/>
          <w:highlight w:val="none"/>
          <w:lang w:val="zh-CN" w:eastAsia="zh-CN" w:bidi="ar-SA"/>
        </w:rPr>
        <w:t>202</w:t>
      </w:r>
      <w:r>
        <w:rPr>
          <w:rFonts w:hint="eastAsia" w:ascii="Times New Roman" w:hAnsi="Times New Roman" w:eastAsia="宋体" w:cs="宋体"/>
          <w:bCs/>
          <w:caps w:val="0"/>
          <w:color w:val="000000"/>
          <w:sz w:val="24"/>
          <w:szCs w:val="30"/>
          <w:highlight w:val="none"/>
          <w:lang w:val="en-US" w:eastAsia="zh-CN" w:bidi="ar-SA"/>
        </w:rPr>
        <w:t>3</w:t>
      </w:r>
      <w:r>
        <w:rPr>
          <w:rFonts w:hint="eastAsia" w:ascii="Times New Roman" w:hAnsi="Times New Roman" w:eastAsia="宋体" w:cs="宋体"/>
          <w:bCs/>
          <w:caps w:val="0"/>
          <w:color w:val="000000"/>
          <w:sz w:val="24"/>
          <w:szCs w:val="30"/>
          <w:highlight w:val="none"/>
          <w:lang w:val="zh-CN" w:eastAsia="zh-CN" w:bidi="ar-SA"/>
        </w:rPr>
        <w:t>届毕业生</w:t>
      </w:r>
      <w:r>
        <w:rPr>
          <w:rFonts w:hint="eastAsia" w:cs="宋体"/>
          <w:bCs/>
          <w:caps w:val="0"/>
          <w:color w:val="000000"/>
          <w:sz w:val="24"/>
          <w:szCs w:val="30"/>
          <w:highlight w:val="none"/>
          <w:lang w:val="en-US" w:eastAsia="zh-CN" w:bidi="ar-SA"/>
        </w:rPr>
        <w:t>在其他企业就业人数</w:t>
      </w:r>
      <w:r>
        <w:rPr>
          <w:rFonts w:hint="eastAsia" w:ascii="Times New Roman" w:hAnsi="Times New Roman" w:eastAsia="宋体" w:cs="宋体"/>
          <w:bCs/>
          <w:caps w:val="0"/>
          <w:color w:val="000000"/>
          <w:sz w:val="24"/>
          <w:szCs w:val="30"/>
          <w:highlight w:val="none"/>
          <w:lang w:val="zh-CN" w:eastAsia="zh-CN" w:bidi="ar-SA"/>
        </w:rPr>
        <w:t>较20</w:t>
      </w:r>
      <w:r>
        <w:rPr>
          <w:rFonts w:hint="eastAsia" w:ascii="Times New Roman" w:hAnsi="Times New Roman" w:eastAsia="宋体" w:cs="宋体"/>
          <w:sz w:val="24"/>
          <w:szCs w:val="24"/>
          <w:highlight w:val="none"/>
          <w:lang w:val="en-US" w:eastAsia="zh-CN"/>
        </w:rPr>
        <w:t>22届</w:t>
      </w:r>
      <w:r>
        <w:rPr>
          <w:rFonts w:hint="eastAsia" w:cs="宋体"/>
          <w:sz w:val="24"/>
          <w:szCs w:val="24"/>
          <w:highlight w:val="none"/>
          <w:lang w:val="en-US" w:eastAsia="zh-CN"/>
        </w:rPr>
        <w:t>上涨11.51</w:t>
      </w:r>
      <w:r>
        <w:rPr>
          <w:rFonts w:hint="eastAsia" w:ascii="Times New Roman" w:hAnsi="Times New Roman" w:eastAsia="宋体" w:cs="宋体"/>
          <w:sz w:val="24"/>
          <w:szCs w:val="24"/>
          <w:highlight w:val="none"/>
          <w:lang w:val="en-US" w:eastAsia="zh-CN"/>
        </w:rPr>
        <w:t>个百分点</w:t>
      </w:r>
      <w:r>
        <w:rPr>
          <w:rFonts w:hint="eastAsia" w:cs="宋体"/>
          <w:sz w:val="24"/>
          <w:szCs w:val="24"/>
          <w:highlight w:val="none"/>
          <w:lang w:val="en-US" w:eastAsia="zh-CN"/>
        </w:rPr>
        <w:t>，</w:t>
      </w:r>
      <w:r>
        <w:rPr>
          <w:rFonts w:hint="eastAsia" w:ascii="Times New Roman" w:hAnsi="Times New Roman" w:eastAsia="宋体" w:cs="宋体"/>
          <w:caps w:val="0"/>
          <w:sz w:val="24"/>
          <w:szCs w:val="24"/>
          <w:highlight w:val="none"/>
        </w:rPr>
        <w:t>这与我国近年来扶持</w:t>
      </w:r>
      <w:r>
        <w:rPr>
          <w:rFonts w:hint="eastAsia" w:cs="宋体"/>
          <w:caps w:val="0"/>
          <w:sz w:val="24"/>
          <w:szCs w:val="24"/>
          <w:highlight w:val="none"/>
          <w:lang w:eastAsia="zh-CN"/>
        </w:rPr>
        <w:t>其他企业</w:t>
      </w:r>
      <w:r>
        <w:rPr>
          <w:rFonts w:hint="eastAsia" w:ascii="Times New Roman" w:hAnsi="Times New Roman" w:eastAsia="宋体" w:cs="宋体"/>
          <w:caps w:val="0"/>
          <w:sz w:val="24"/>
          <w:szCs w:val="24"/>
          <w:highlight w:val="none"/>
        </w:rPr>
        <w:t>发展的政策环境及中小微企业的快速发展密切相关。</w:t>
      </w:r>
    </w:p>
    <w:p>
      <w:pPr>
        <w:spacing w:line="360" w:lineRule="auto"/>
        <w:jc w:val="center"/>
        <w:rPr>
          <w:rFonts w:hint="eastAsia" w:ascii="Times New Roman" w:hAnsi="Times New Roman" w:eastAsia="宋体" w:cs="宋体"/>
          <w:highlight w:val="none"/>
          <w:lang w:eastAsia="zh-CN"/>
        </w:rPr>
      </w:pPr>
      <w:r>
        <w:rPr>
          <w:rFonts w:hint="eastAsia" w:ascii="Times New Roman" w:hAnsi="Times New Roman" w:eastAsia="宋体" w:cs="宋体"/>
          <w:highlight w:val="none"/>
          <w:lang w:eastAsia="zh-CN"/>
        </w:rPr>
        <w:drawing>
          <wp:inline distT="0" distB="0" distL="114300" distR="114300">
            <wp:extent cx="4372610" cy="2520950"/>
            <wp:effectExtent l="0" t="0" r="8890" b="12700"/>
            <wp:docPr id="107"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spacing w:line="360" w:lineRule="auto"/>
        <w:jc w:val="center"/>
        <w:rPr>
          <w:rFonts w:ascii="Times New Roman" w:hAnsi="Times New Roman" w:eastAsia="宋体"/>
          <w:highlight w:val="none"/>
        </w:rPr>
      </w:pPr>
      <w:r>
        <w:rPr>
          <w:rFonts w:ascii="Times New Roman" w:hAnsi="Times New Roman" w:eastAsia="宋体" w:cs="黑体"/>
          <w:b/>
          <w:color w:val="0F6FC6"/>
          <w:sz w:val="21"/>
          <w:highlight w:val="none"/>
          <w:u w:color="auto"/>
        </w:rPr>
        <w:t>图6-4  202</w:t>
      </w:r>
      <w:r>
        <w:rPr>
          <w:rFonts w:hint="eastAsia" w:ascii="Times New Roman" w:hAnsi="Times New Roman" w:eastAsia="宋体" w:cs="黑体"/>
          <w:b/>
          <w:color w:val="0F6FC6"/>
          <w:sz w:val="21"/>
          <w:highlight w:val="none"/>
          <w:u w:color="auto"/>
          <w:lang w:val="en-US" w:eastAsia="zh-CN"/>
        </w:rPr>
        <w:t>1</w:t>
      </w:r>
      <w:r>
        <w:rPr>
          <w:rFonts w:ascii="Times New Roman" w:hAnsi="Times New Roman" w:eastAsia="宋体" w:cs="黑体"/>
          <w:b/>
          <w:color w:val="0F6FC6"/>
          <w:sz w:val="21"/>
          <w:highlight w:val="none"/>
          <w:u w:color="auto"/>
        </w:rPr>
        <w:t>-202</w:t>
      </w:r>
      <w:r>
        <w:rPr>
          <w:rFonts w:hint="eastAsia" w:ascii="Times New Roman" w:hAnsi="Times New Roman" w:eastAsia="宋体" w:cs="黑体"/>
          <w:b/>
          <w:color w:val="0F6FC6"/>
          <w:sz w:val="21"/>
          <w:highlight w:val="none"/>
          <w:u w:color="auto"/>
          <w:lang w:val="en-US" w:eastAsia="zh-CN"/>
        </w:rPr>
        <w:t>3</w:t>
      </w:r>
      <w:r>
        <w:rPr>
          <w:rFonts w:ascii="Times New Roman" w:hAnsi="Times New Roman" w:eastAsia="宋体" w:cs="黑体"/>
          <w:b/>
          <w:color w:val="0F6FC6"/>
          <w:sz w:val="21"/>
          <w:highlight w:val="none"/>
          <w:u w:color="auto"/>
        </w:rPr>
        <w:t>届毕业生</w:t>
      </w:r>
      <w:r>
        <w:rPr>
          <w:rFonts w:hint="eastAsia" w:ascii="Times New Roman" w:hAnsi="Times New Roman" w:eastAsia="宋体" w:cs="黑体"/>
          <w:b/>
          <w:color w:val="0F6FC6"/>
          <w:sz w:val="21"/>
          <w:highlight w:val="none"/>
          <w:u w:color="auto"/>
          <w:lang w:val="en-US" w:eastAsia="zh-CN"/>
        </w:rPr>
        <w:t>用人单位</w:t>
      </w:r>
      <w:r>
        <w:rPr>
          <w:rFonts w:ascii="Times New Roman" w:hAnsi="Times New Roman" w:eastAsia="宋体" w:cs="黑体"/>
          <w:b/>
          <w:color w:val="0F6FC6"/>
          <w:sz w:val="21"/>
          <w:highlight w:val="none"/>
          <w:u w:color="auto"/>
        </w:rPr>
        <w:t>变化趋势</w:t>
      </w:r>
    </w:p>
    <w:p>
      <w:pPr>
        <w:spacing w:after="100" w:line="240" w:lineRule="auto"/>
        <w:rPr>
          <w:rFonts w:hint="eastAsia" w:ascii="Times New Roman" w:hAnsi="Times New Roman" w:eastAsia="宋体" w:cs="Times New Roman"/>
          <w:color w:val="0F6FC6"/>
          <w:sz w:val="18"/>
          <w:u w:color="auto"/>
          <w:lang w:eastAsia="zh-CN"/>
        </w:rPr>
      </w:pPr>
      <w:r>
        <w:rPr>
          <w:rFonts w:hint="eastAsia" w:ascii="Times New Roman" w:hAnsi="Times New Roman" w:eastAsia="宋体" w:cs="Times New Roman"/>
          <w:color w:val="0F6FC6"/>
          <w:sz w:val="18"/>
          <w:u w:color="auto"/>
          <w:lang w:eastAsia="zh-CN"/>
        </w:rPr>
        <w:t>数据来源：</w:t>
      </w:r>
      <w:r>
        <w:rPr>
          <w:rFonts w:hint="eastAsia" w:ascii="Times New Roman" w:hAnsi="Times New Roman" w:eastAsia="宋体" w:cs="Times New Roman"/>
          <w:color w:val="0F6FC6"/>
          <w:sz w:val="18"/>
          <w:u w:color="auto"/>
          <w:lang w:val="en-US" w:eastAsia="zh-CN"/>
        </w:rPr>
        <w:t>1.2021届-2022届数据来自</w:t>
      </w:r>
      <w:r>
        <w:rPr>
          <w:rFonts w:hint="eastAsia" w:ascii="Times New Roman" w:hAnsi="Times New Roman" w:eastAsia="宋体" w:cs="Times New Roman"/>
          <w:color w:val="0F6FC6"/>
          <w:sz w:val="18"/>
          <w:u w:color="auto"/>
          <w:lang w:eastAsia="zh-CN"/>
        </w:rPr>
        <w:t>《</w:t>
      </w:r>
      <w:r>
        <w:rPr>
          <w:rFonts w:hint="eastAsia" w:cs="Times New Roman"/>
          <w:color w:val="0F6FC6"/>
          <w:sz w:val="18"/>
          <w:u w:color="auto"/>
          <w:lang w:val="en-US" w:eastAsia="zh-CN"/>
        </w:rPr>
        <w:t>晋中学院</w:t>
      </w:r>
      <w:r>
        <w:rPr>
          <w:rFonts w:hint="eastAsia" w:ascii="Times New Roman" w:hAnsi="Times New Roman" w:eastAsia="宋体" w:cs="Times New Roman"/>
          <w:color w:val="0F6FC6"/>
          <w:sz w:val="18"/>
          <w:u w:color="auto"/>
          <w:lang w:val="en-US" w:eastAsia="zh-CN"/>
        </w:rPr>
        <w:t>2022</w:t>
      </w:r>
      <w:r>
        <w:rPr>
          <w:rFonts w:hint="eastAsia" w:ascii="Times New Roman" w:hAnsi="Times New Roman" w:eastAsia="宋体" w:cs="Times New Roman"/>
          <w:color w:val="0F6FC6"/>
          <w:sz w:val="18"/>
          <w:u w:color="auto"/>
          <w:lang w:eastAsia="zh-CN"/>
        </w:rPr>
        <w:t>届就业质量年度报告》</w:t>
      </w:r>
    </w:p>
    <w:p>
      <w:pPr>
        <w:spacing w:after="100" w:line="240" w:lineRule="auto"/>
        <w:ind w:firstLine="900" w:firstLineChars="500"/>
      </w:pPr>
      <w:r>
        <w:rPr>
          <w:rFonts w:hint="eastAsia" w:ascii="Times New Roman" w:hAnsi="Times New Roman" w:eastAsia="宋体" w:cs="Times New Roman"/>
          <w:color w:val="0F6FC6"/>
          <w:sz w:val="18"/>
          <w:u w:color="auto"/>
          <w:lang w:val="en-US" w:eastAsia="zh-CN"/>
        </w:rPr>
        <w:t>2.2023届数据来自</w:t>
      </w:r>
      <w:r>
        <w:rPr>
          <w:rFonts w:hint="eastAsia" w:cs="Times New Roman"/>
          <w:color w:val="0F6FC6"/>
          <w:sz w:val="18"/>
          <w:u w:color="auto"/>
          <w:lang w:val="en-US" w:eastAsia="zh-CN"/>
        </w:rPr>
        <w:t>晋中学院</w:t>
      </w:r>
      <w:r>
        <w:rPr>
          <w:rFonts w:hint="eastAsia" w:ascii="Times New Roman" w:hAnsi="Times New Roman" w:eastAsia="宋体" w:cs="Times New Roman"/>
          <w:color w:val="0F6FC6"/>
          <w:sz w:val="18"/>
          <w:u w:color="auto"/>
          <w:lang w:val="en-US" w:eastAsia="zh-CN"/>
        </w:rPr>
        <w:t>就业信息管理系统</w:t>
      </w:r>
      <w:r>
        <w:rPr>
          <w:rFonts w:hint="eastAsia" w:ascii="Times New Roman" w:hAnsi="Times New Roman" w:eastAsia="宋体" w:cs="Times New Roman"/>
          <w:color w:val="0F6FC6"/>
          <w:sz w:val="18"/>
          <w:u w:color="auto"/>
          <w:lang w:eastAsia="zh-CN"/>
        </w:rPr>
        <w:t>。</w:t>
      </w:r>
    </w:p>
    <w:p>
      <w:pPr>
        <w:numPr>
          <w:ilvl w:val="1"/>
          <w:numId w:val="62"/>
        </w:numPr>
        <w:shd w:val="clear" w:color="auto" w:fill="FFFFFF"/>
        <w:spacing w:before="15" w:after="15" w:line="360" w:lineRule="auto"/>
        <w:jc w:val="left"/>
        <w:outlineLvl w:val="1"/>
        <w:rPr>
          <w:rFonts w:hint="eastAsia" w:ascii="Times New Roman" w:hAnsi="Times New Roman" w:eastAsia="宋体" w:cs="宋体"/>
          <w:caps w:val="0"/>
          <w:sz w:val="24"/>
          <w:szCs w:val="24"/>
          <w:highlight w:val="none"/>
          <w:lang w:val="en-US" w:eastAsia="zh-CN"/>
        </w:rPr>
      </w:pPr>
      <w:bookmarkStart w:id="78" w:name="_Toc4634"/>
      <w:r>
        <w:rPr>
          <w:rFonts w:hint="eastAsia" w:eastAsia="黑体" w:cs="Times New Roman"/>
          <w:b/>
          <w:color w:val="0F6FC6"/>
          <w:sz w:val="30"/>
          <w:u w:color="auto"/>
          <w:lang w:val="en-US" w:eastAsia="zh-CN"/>
        </w:rPr>
        <w:t>五</w:t>
      </w:r>
      <w:r>
        <w:rPr>
          <w:rFonts w:hint="default" w:ascii="Times New Roman" w:hAnsi="Times New Roman" w:eastAsia="黑体" w:cs="Times New Roman"/>
          <w:b/>
          <w:color w:val="0F6FC6"/>
          <w:sz w:val="30"/>
          <w:u w:color="auto"/>
        </w:rPr>
        <w:t>、就业质量变化趋势</w:t>
      </w:r>
      <w:bookmarkEnd w:id="78"/>
    </w:p>
    <w:p>
      <w:pPr>
        <w:numPr>
          <w:ilvl w:val="1"/>
          <w:numId w:val="62"/>
        </w:numPr>
        <w:shd w:val="clear" w:color="auto" w:fill="FFFFFF"/>
        <w:spacing w:before="15" w:after="15" w:line="360" w:lineRule="auto"/>
        <w:jc w:val="left"/>
        <w:outlineLvl w:val="9"/>
        <w:rPr>
          <w:rFonts w:hint="eastAsia" w:ascii="Times New Roman" w:hAnsi="Times New Roman" w:eastAsia="宋体" w:cs="宋体"/>
          <w:caps w:val="0"/>
          <w:sz w:val="24"/>
          <w:szCs w:val="24"/>
          <w:highlight w:val="none"/>
          <w:lang w:val="en-US" w:eastAsia="zh-CN"/>
        </w:rPr>
      </w:pPr>
      <w:r>
        <w:rPr>
          <w:rFonts w:hint="eastAsia" w:cs="宋体"/>
          <w:caps w:val="0"/>
          <w:sz w:val="24"/>
          <w:szCs w:val="24"/>
          <w:highlight w:val="none"/>
          <w:lang w:val="en-US" w:eastAsia="zh-CN"/>
        </w:rPr>
        <w:t>学校</w:t>
      </w:r>
      <w:r>
        <w:rPr>
          <w:rFonts w:hint="eastAsia" w:ascii="Times New Roman" w:hAnsi="Times New Roman" w:eastAsia="宋体" w:cs="宋体"/>
          <w:caps w:val="0"/>
          <w:sz w:val="24"/>
          <w:szCs w:val="24"/>
          <w:highlight w:val="none"/>
          <w:lang w:val="en-US" w:eastAsia="zh-CN"/>
        </w:rPr>
        <w:t>2023届毕业生的工作与专业相关度为</w:t>
      </w:r>
      <w:r>
        <w:rPr>
          <w:rFonts w:hint="eastAsia" w:cs="宋体"/>
          <w:caps w:val="0"/>
          <w:sz w:val="24"/>
          <w:szCs w:val="24"/>
          <w:highlight w:val="none"/>
          <w:lang w:val="en-US" w:eastAsia="zh-CN"/>
        </w:rPr>
        <w:t>72.38</w:t>
      </w:r>
      <w:r>
        <w:rPr>
          <w:rFonts w:hint="eastAsia" w:ascii="Times New Roman" w:hAnsi="Times New Roman" w:eastAsia="宋体" w:cs="宋体"/>
          <w:caps w:val="0"/>
          <w:sz w:val="24"/>
          <w:szCs w:val="24"/>
          <w:highlight w:val="none"/>
          <w:lang w:val="en-US" w:eastAsia="zh-CN"/>
        </w:rPr>
        <w:t>%，</w:t>
      </w:r>
      <w:r>
        <w:rPr>
          <w:rFonts w:hint="eastAsia" w:cs="宋体"/>
          <w:caps w:val="0"/>
          <w:sz w:val="24"/>
          <w:szCs w:val="24"/>
          <w:highlight w:val="none"/>
          <w:lang w:val="en-US" w:eastAsia="zh-CN"/>
        </w:rPr>
        <w:t>较</w:t>
      </w:r>
      <w:r>
        <w:rPr>
          <w:rFonts w:hint="eastAsia" w:ascii="Times New Roman" w:hAnsi="Times New Roman" w:eastAsia="宋体" w:cs="宋体"/>
          <w:caps w:val="0"/>
          <w:sz w:val="24"/>
          <w:szCs w:val="24"/>
          <w:highlight w:val="none"/>
          <w:lang w:val="en-US" w:eastAsia="zh-CN"/>
        </w:rPr>
        <w:t>202</w:t>
      </w:r>
      <w:r>
        <w:rPr>
          <w:rFonts w:hint="eastAsia" w:cs="宋体"/>
          <w:caps w:val="0"/>
          <w:sz w:val="24"/>
          <w:szCs w:val="24"/>
          <w:highlight w:val="none"/>
          <w:lang w:val="en-US" w:eastAsia="zh-CN"/>
        </w:rPr>
        <w:t>2</w:t>
      </w:r>
      <w:r>
        <w:rPr>
          <w:rFonts w:hint="eastAsia" w:ascii="Times New Roman" w:hAnsi="Times New Roman" w:eastAsia="宋体" w:cs="宋体"/>
          <w:caps w:val="0"/>
          <w:sz w:val="24"/>
          <w:szCs w:val="24"/>
          <w:highlight w:val="none"/>
          <w:lang w:val="en-US" w:eastAsia="zh-CN"/>
        </w:rPr>
        <w:t>届</w:t>
      </w:r>
      <w:r>
        <w:rPr>
          <w:rFonts w:hint="eastAsia" w:cs="宋体"/>
          <w:caps w:val="0"/>
          <w:sz w:val="24"/>
          <w:szCs w:val="24"/>
          <w:highlight w:val="none"/>
          <w:lang w:val="en-US" w:eastAsia="zh-CN"/>
        </w:rPr>
        <w:t>上涨6.38</w:t>
      </w:r>
      <w:r>
        <w:rPr>
          <w:rFonts w:hint="eastAsia" w:ascii="Times New Roman" w:hAnsi="Times New Roman" w:eastAsia="宋体" w:cs="宋体"/>
          <w:caps w:val="0"/>
          <w:sz w:val="24"/>
          <w:szCs w:val="24"/>
          <w:highlight w:val="none"/>
          <w:lang w:val="en-US" w:eastAsia="zh-CN"/>
        </w:rPr>
        <w:t>个百分点，毕业生的工作与专业相关度整体</w:t>
      </w:r>
      <w:r>
        <w:rPr>
          <w:rFonts w:hint="eastAsia" w:cs="宋体"/>
          <w:caps w:val="0"/>
          <w:sz w:val="24"/>
          <w:szCs w:val="24"/>
          <w:highlight w:val="none"/>
          <w:lang w:val="en-US" w:eastAsia="zh-CN"/>
        </w:rPr>
        <w:t>上升</w:t>
      </w:r>
      <w:r>
        <w:rPr>
          <w:rFonts w:hint="eastAsia" w:ascii="Times New Roman" w:hAnsi="Times New Roman" w:eastAsia="宋体" w:cs="宋体"/>
          <w:caps w:val="0"/>
          <w:sz w:val="24"/>
          <w:szCs w:val="24"/>
          <w:highlight w:val="none"/>
          <w:lang w:val="en-US" w:eastAsia="zh-CN"/>
        </w:rPr>
        <w:t>。</w:t>
      </w:r>
    </w:p>
    <w:p>
      <w:pPr>
        <w:numPr>
          <w:ilvl w:val="1"/>
          <w:numId w:val="62"/>
        </w:numPr>
        <w:shd w:val="clear" w:color="auto" w:fill="FFFFFF"/>
        <w:spacing w:before="15" w:after="15" w:line="360" w:lineRule="auto"/>
        <w:jc w:val="center"/>
        <w:outlineLvl w:val="9"/>
        <w:rPr>
          <w:rFonts w:hint="default" w:ascii="Times New Roman" w:hAnsi="Times New Roman" w:eastAsia="宋体" w:cs="宋体"/>
          <w:caps w:val="0"/>
          <w:sz w:val="24"/>
          <w:szCs w:val="24"/>
          <w:highlight w:val="none"/>
          <w:lang w:val="en-US" w:eastAsia="zh-CN"/>
        </w:rPr>
      </w:pPr>
      <w:r>
        <w:rPr>
          <w:rFonts w:hint="default" w:ascii="Times New Roman" w:hAnsi="Times New Roman" w:eastAsia="宋体" w:cs="宋体"/>
          <w:caps w:val="0"/>
          <w:sz w:val="24"/>
          <w:szCs w:val="24"/>
          <w:highlight w:val="none"/>
          <w:lang w:val="en-US" w:eastAsia="zh-CN"/>
        </w:rPr>
        <w:drawing>
          <wp:inline distT="0" distB="0" distL="114300" distR="114300">
            <wp:extent cx="4542155" cy="2446655"/>
            <wp:effectExtent l="0" t="0" r="10795" b="10795"/>
            <wp:docPr id="108" name="图表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spacing w:line="360" w:lineRule="auto"/>
        <w:jc w:val="center"/>
        <w:rPr>
          <w:rFonts w:ascii="Times New Roman" w:hAnsi="Times New Roman" w:eastAsia="宋体"/>
          <w:highlight w:val="none"/>
        </w:rPr>
      </w:pPr>
      <w:r>
        <w:rPr>
          <w:rFonts w:ascii="Times New Roman" w:hAnsi="Times New Roman" w:eastAsia="宋体" w:cs="黑体"/>
          <w:b/>
          <w:color w:val="0F6FC6"/>
          <w:sz w:val="21"/>
          <w:highlight w:val="none"/>
          <w:u w:color="auto"/>
        </w:rPr>
        <w:t>图6-</w:t>
      </w:r>
      <w:r>
        <w:rPr>
          <w:rFonts w:hint="eastAsia" w:cs="黑体"/>
          <w:b/>
          <w:color w:val="0F6FC6"/>
          <w:sz w:val="21"/>
          <w:highlight w:val="none"/>
          <w:u w:color="auto"/>
          <w:lang w:val="en-US" w:eastAsia="zh-CN"/>
        </w:rPr>
        <w:t>5</w:t>
      </w:r>
      <w:r>
        <w:rPr>
          <w:rFonts w:ascii="Times New Roman" w:hAnsi="Times New Roman" w:eastAsia="宋体" w:cs="黑体"/>
          <w:b/>
          <w:color w:val="0F6FC6"/>
          <w:sz w:val="21"/>
          <w:highlight w:val="none"/>
          <w:u w:color="auto"/>
        </w:rPr>
        <w:t xml:space="preserve">  202</w:t>
      </w:r>
      <w:r>
        <w:rPr>
          <w:rFonts w:hint="eastAsia" w:ascii="Times New Roman" w:hAnsi="Times New Roman" w:eastAsia="宋体" w:cs="黑体"/>
          <w:b/>
          <w:color w:val="0F6FC6"/>
          <w:sz w:val="21"/>
          <w:highlight w:val="none"/>
          <w:u w:color="auto"/>
          <w:lang w:val="en-US" w:eastAsia="zh-CN"/>
        </w:rPr>
        <w:t>1</w:t>
      </w:r>
      <w:r>
        <w:rPr>
          <w:rFonts w:ascii="Times New Roman" w:hAnsi="Times New Roman" w:eastAsia="宋体" w:cs="黑体"/>
          <w:b/>
          <w:color w:val="0F6FC6"/>
          <w:sz w:val="21"/>
          <w:highlight w:val="none"/>
          <w:u w:color="auto"/>
        </w:rPr>
        <w:t>-202</w:t>
      </w:r>
      <w:r>
        <w:rPr>
          <w:rFonts w:hint="eastAsia" w:ascii="Times New Roman" w:hAnsi="Times New Roman" w:eastAsia="宋体" w:cs="黑体"/>
          <w:b/>
          <w:color w:val="0F6FC6"/>
          <w:sz w:val="21"/>
          <w:highlight w:val="none"/>
          <w:u w:color="auto"/>
          <w:lang w:val="en-US" w:eastAsia="zh-CN"/>
        </w:rPr>
        <w:t>3</w:t>
      </w:r>
      <w:r>
        <w:rPr>
          <w:rFonts w:ascii="Times New Roman" w:hAnsi="Times New Roman" w:eastAsia="宋体" w:cs="黑体"/>
          <w:b/>
          <w:color w:val="0F6FC6"/>
          <w:sz w:val="21"/>
          <w:highlight w:val="none"/>
          <w:u w:color="auto"/>
        </w:rPr>
        <w:t>届毕业生</w:t>
      </w:r>
      <w:r>
        <w:rPr>
          <w:rFonts w:hint="eastAsia" w:cs="黑体"/>
          <w:b/>
          <w:color w:val="0F6FC6"/>
          <w:sz w:val="21"/>
          <w:highlight w:val="none"/>
          <w:u w:color="auto"/>
          <w:lang w:val="en-US" w:eastAsia="zh-CN"/>
        </w:rPr>
        <w:t>专业相关度</w:t>
      </w:r>
      <w:r>
        <w:rPr>
          <w:rFonts w:ascii="Times New Roman" w:hAnsi="Times New Roman" w:eastAsia="宋体" w:cs="黑体"/>
          <w:b/>
          <w:color w:val="0F6FC6"/>
          <w:sz w:val="21"/>
          <w:highlight w:val="none"/>
          <w:u w:color="auto"/>
        </w:rPr>
        <w:t>变化趋势</w:t>
      </w:r>
    </w:p>
    <w:p>
      <w:pPr>
        <w:spacing w:after="100" w:line="240" w:lineRule="auto"/>
        <w:rPr>
          <w:rFonts w:hint="eastAsia" w:ascii="Times New Roman" w:hAnsi="Times New Roman" w:eastAsia="宋体" w:cs="Times New Roman"/>
          <w:color w:val="0F6FC6"/>
          <w:sz w:val="18"/>
          <w:u w:color="auto"/>
          <w:lang w:eastAsia="zh-CN"/>
        </w:rPr>
      </w:pPr>
      <w:r>
        <w:rPr>
          <w:rFonts w:hint="eastAsia" w:ascii="Times New Roman" w:hAnsi="Times New Roman" w:eastAsia="宋体" w:cs="Times New Roman"/>
          <w:color w:val="0F6FC6"/>
          <w:sz w:val="18"/>
          <w:u w:color="auto"/>
          <w:lang w:eastAsia="zh-CN"/>
        </w:rPr>
        <w:t>数据来源：</w:t>
      </w:r>
      <w:r>
        <w:rPr>
          <w:rFonts w:hint="eastAsia" w:ascii="Times New Roman" w:hAnsi="Times New Roman" w:eastAsia="宋体" w:cs="Times New Roman"/>
          <w:color w:val="0F6FC6"/>
          <w:sz w:val="18"/>
          <w:u w:color="auto"/>
          <w:lang w:val="en-US" w:eastAsia="zh-CN"/>
        </w:rPr>
        <w:t>1.2021届-2022届数据来自</w:t>
      </w:r>
      <w:r>
        <w:rPr>
          <w:rFonts w:hint="eastAsia" w:ascii="Times New Roman" w:hAnsi="Times New Roman" w:eastAsia="宋体" w:cs="Times New Roman"/>
          <w:color w:val="0F6FC6"/>
          <w:sz w:val="18"/>
          <w:u w:color="auto"/>
          <w:lang w:eastAsia="zh-CN"/>
        </w:rPr>
        <w:t>《</w:t>
      </w:r>
      <w:r>
        <w:rPr>
          <w:rFonts w:hint="eastAsia" w:cs="Times New Roman"/>
          <w:color w:val="0F6FC6"/>
          <w:sz w:val="18"/>
          <w:u w:color="auto"/>
          <w:lang w:val="en-US" w:eastAsia="zh-CN"/>
        </w:rPr>
        <w:t>晋中学院</w:t>
      </w:r>
      <w:r>
        <w:rPr>
          <w:rFonts w:hint="eastAsia" w:ascii="Times New Roman" w:hAnsi="Times New Roman" w:eastAsia="宋体" w:cs="Times New Roman"/>
          <w:color w:val="0F6FC6"/>
          <w:sz w:val="18"/>
          <w:u w:color="auto"/>
          <w:lang w:val="en-US" w:eastAsia="zh-CN"/>
        </w:rPr>
        <w:t>2022</w:t>
      </w:r>
      <w:r>
        <w:rPr>
          <w:rFonts w:hint="eastAsia" w:ascii="Times New Roman" w:hAnsi="Times New Roman" w:eastAsia="宋体" w:cs="Times New Roman"/>
          <w:color w:val="0F6FC6"/>
          <w:sz w:val="18"/>
          <w:u w:color="auto"/>
          <w:lang w:eastAsia="zh-CN"/>
        </w:rPr>
        <w:t>届就业质量年度报告》</w:t>
      </w:r>
    </w:p>
    <w:p>
      <w:pPr>
        <w:spacing w:after="100" w:line="240" w:lineRule="auto"/>
        <w:ind w:firstLine="900" w:firstLineChars="500"/>
        <w:rPr>
          <w:highlight w:val="none"/>
        </w:rPr>
      </w:pPr>
      <w:r>
        <w:rPr>
          <w:rFonts w:hint="eastAsia" w:ascii="Times New Roman" w:hAnsi="Times New Roman" w:eastAsia="宋体" w:cs="Times New Roman"/>
          <w:color w:val="0F6FC6"/>
          <w:sz w:val="18"/>
          <w:highlight w:val="none"/>
          <w:u w:color="auto"/>
          <w:lang w:val="en-US" w:eastAsia="zh-CN"/>
        </w:rPr>
        <w:t>2.2023届数据来自</w:t>
      </w:r>
      <w:r>
        <w:rPr>
          <w:rFonts w:hint="eastAsia" w:cs="Times New Roman"/>
          <w:color w:val="0F6FC6"/>
          <w:sz w:val="18"/>
          <w:highlight w:val="none"/>
          <w:u w:color="auto"/>
          <w:lang w:eastAsia="zh-CN"/>
        </w:rPr>
        <w:t>第三方机构叁壹科技（山西）有限公司-2023届毕业生就业与培养质量调查</w:t>
      </w:r>
      <w:r>
        <w:rPr>
          <w:rFonts w:hint="eastAsia" w:ascii="Times New Roman" w:hAnsi="Times New Roman" w:eastAsia="宋体" w:cs="Times New Roman"/>
          <w:color w:val="0F6FC6"/>
          <w:sz w:val="18"/>
          <w:highlight w:val="none"/>
          <w:u w:color="auto"/>
          <w:lang w:eastAsia="zh-CN"/>
        </w:rPr>
        <w:t>。</w:t>
      </w:r>
    </w:p>
    <w:p>
      <w:pPr>
        <w:numPr>
          <w:ilvl w:val="1"/>
          <w:numId w:val="62"/>
        </w:numPr>
        <w:shd w:val="clear" w:color="auto" w:fill="FFFFFF"/>
        <w:spacing w:before="15" w:after="15" w:line="360" w:lineRule="auto"/>
        <w:jc w:val="left"/>
        <w:outlineLvl w:val="9"/>
        <w:rPr>
          <w:rFonts w:hint="eastAsia" w:ascii="Times New Roman" w:hAnsi="Times New Roman" w:eastAsia="宋体" w:cs="宋体"/>
          <w:caps w:val="0"/>
          <w:sz w:val="24"/>
          <w:szCs w:val="24"/>
          <w:highlight w:val="none"/>
          <w:lang w:val="en-US" w:eastAsia="zh-CN"/>
        </w:rPr>
      </w:pPr>
      <w:r>
        <w:rPr>
          <w:rFonts w:hint="eastAsia" w:cs="宋体"/>
          <w:caps w:val="0"/>
          <w:sz w:val="24"/>
          <w:szCs w:val="24"/>
          <w:highlight w:val="none"/>
          <w:lang w:val="en-US" w:eastAsia="zh-CN"/>
        </w:rPr>
        <w:t>学校</w:t>
      </w:r>
      <w:r>
        <w:rPr>
          <w:rFonts w:hint="eastAsia" w:ascii="Times New Roman" w:hAnsi="Times New Roman" w:eastAsia="宋体" w:cs="宋体"/>
          <w:caps w:val="0"/>
          <w:sz w:val="24"/>
          <w:szCs w:val="24"/>
          <w:highlight w:val="none"/>
          <w:lang w:val="en-US" w:eastAsia="zh-CN"/>
        </w:rPr>
        <w:t>2023届毕业生的</w:t>
      </w:r>
      <w:r>
        <w:rPr>
          <w:rFonts w:hint="eastAsia" w:cs="宋体"/>
          <w:caps w:val="0"/>
          <w:sz w:val="24"/>
          <w:szCs w:val="24"/>
          <w:highlight w:val="none"/>
          <w:lang w:val="en-US" w:eastAsia="zh-CN"/>
        </w:rPr>
        <w:t>工作满意</w:t>
      </w:r>
      <w:r>
        <w:rPr>
          <w:rFonts w:hint="eastAsia" w:ascii="Times New Roman" w:hAnsi="Times New Roman" w:eastAsia="宋体" w:cs="宋体"/>
          <w:caps w:val="0"/>
          <w:sz w:val="24"/>
          <w:szCs w:val="24"/>
          <w:highlight w:val="none"/>
          <w:lang w:val="en-US" w:eastAsia="zh-CN"/>
        </w:rPr>
        <w:t>度为</w:t>
      </w:r>
      <w:r>
        <w:rPr>
          <w:rFonts w:hint="eastAsia" w:cs="宋体"/>
          <w:caps w:val="0"/>
          <w:sz w:val="24"/>
          <w:szCs w:val="24"/>
          <w:highlight w:val="none"/>
          <w:lang w:val="en-US" w:eastAsia="zh-CN"/>
        </w:rPr>
        <w:t>89.22</w:t>
      </w:r>
      <w:r>
        <w:rPr>
          <w:rFonts w:hint="eastAsia" w:ascii="Times New Roman" w:hAnsi="Times New Roman" w:eastAsia="宋体" w:cs="宋体"/>
          <w:caps w:val="0"/>
          <w:sz w:val="24"/>
          <w:szCs w:val="24"/>
          <w:highlight w:val="none"/>
          <w:lang w:val="en-US" w:eastAsia="zh-CN"/>
        </w:rPr>
        <w:t>%，</w:t>
      </w:r>
      <w:r>
        <w:rPr>
          <w:rFonts w:hint="eastAsia" w:cs="宋体"/>
          <w:caps w:val="0"/>
          <w:sz w:val="24"/>
          <w:szCs w:val="24"/>
          <w:highlight w:val="none"/>
          <w:lang w:val="en-US" w:eastAsia="zh-CN"/>
        </w:rPr>
        <w:t>较</w:t>
      </w:r>
      <w:r>
        <w:rPr>
          <w:rFonts w:hint="eastAsia" w:ascii="Times New Roman" w:hAnsi="Times New Roman" w:eastAsia="宋体" w:cs="宋体"/>
          <w:caps w:val="0"/>
          <w:sz w:val="24"/>
          <w:szCs w:val="24"/>
          <w:highlight w:val="none"/>
          <w:lang w:val="en-US" w:eastAsia="zh-CN"/>
        </w:rPr>
        <w:t>202</w:t>
      </w:r>
      <w:r>
        <w:rPr>
          <w:rFonts w:hint="eastAsia" w:cs="宋体"/>
          <w:caps w:val="0"/>
          <w:sz w:val="24"/>
          <w:szCs w:val="24"/>
          <w:highlight w:val="none"/>
          <w:lang w:val="en-US" w:eastAsia="zh-CN"/>
        </w:rPr>
        <w:t>2</w:t>
      </w:r>
      <w:r>
        <w:rPr>
          <w:rFonts w:hint="eastAsia" w:ascii="Times New Roman" w:hAnsi="Times New Roman" w:eastAsia="宋体" w:cs="宋体"/>
          <w:caps w:val="0"/>
          <w:sz w:val="24"/>
          <w:szCs w:val="24"/>
          <w:highlight w:val="none"/>
          <w:lang w:val="en-US" w:eastAsia="zh-CN"/>
        </w:rPr>
        <w:t>届</w:t>
      </w:r>
      <w:r>
        <w:rPr>
          <w:rFonts w:hint="eastAsia" w:cs="宋体"/>
          <w:caps w:val="0"/>
          <w:sz w:val="24"/>
          <w:szCs w:val="24"/>
          <w:highlight w:val="none"/>
          <w:lang w:val="en-US" w:eastAsia="zh-CN"/>
        </w:rPr>
        <w:t>上涨17.22</w:t>
      </w:r>
      <w:r>
        <w:rPr>
          <w:rFonts w:hint="eastAsia" w:ascii="Times New Roman" w:hAnsi="Times New Roman" w:eastAsia="宋体" w:cs="宋体"/>
          <w:caps w:val="0"/>
          <w:sz w:val="24"/>
          <w:szCs w:val="24"/>
          <w:highlight w:val="none"/>
          <w:lang w:val="en-US" w:eastAsia="zh-CN"/>
        </w:rPr>
        <w:t>个百分点，毕业生的</w:t>
      </w:r>
      <w:r>
        <w:rPr>
          <w:rFonts w:hint="eastAsia" w:cs="宋体"/>
          <w:caps w:val="0"/>
          <w:sz w:val="24"/>
          <w:szCs w:val="24"/>
          <w:highlight w:val="none"/>
          <w:lang w:val="en-US" w:eastAsia="zh-CN"/>
        </w:rPr>
        <w:t>工作满意</w:t>
      </w:r>
      <w:r>
        <w:rPr>
          <w:rFonts w:hint="eastAsia" w:ascii="Times New Roman" w:hAnsi="Times New Roman" w:eastAsia="宋体" w:cs="宋体"/>
          <w:caps w:val="0"/>
          <w:sz w:val="24"/>
          <w:szCs w:val="24"/>
          <w:highlight w:val="none"/>
          <w:lang w:val="en-US" w:eastAsia="zh-CN"/>
        </w:rPr>
        <w:t>度整体</w:t>
      </w:r>
      <w:r>
        <w:rPr>
          <w:rFonts w:hint="eastAsia" w:cs="宋体"/>
          <w:caps w:val="0"/>
          <w:sz w:val="24"/>
          <w:szCs w:val="24"/>
          <w:highlight w:val="none"/>
          <w:lang w:val="en-US" w:eastAsia="zh-CN"/>
        </w:rPr>
        <w:t>上升</w:t>
      </w:r>
      <w:r>
        <w:rPr>
          <w:rFonts w:hint="eastAsia" w:ascii="Times New Roman" w:hAnsi="Times New Roman" w:eastAsia="宋体" w:cs="宋体"/>
          <w:caps w:val="0"/>
          <w:sz w:val="24"/>
          <w:szCs w:val="24"/>
          <w:highlight w:val="none"/>
          <w:lang w:val="en-US" w:eastAsia="zh-CN"/>
        </w:rPr>
        <w:t>。</w:t>
      </w:r>
    </w:p>
    <w:p>
      <w:pPr>
        <w:numPr>
          <w:ilvl w:val="1"/>
          <w:numId w:val="62"/>
        </w:numPr>
        <w:shd w:val="clear" w:color="auto" w:fill="FFFFFF"/>
        <w:spacing w:before="15" w:after="15" w:line="360" w:lineRule="auto"/>
        <w:jc w:val="center"/>
        <w:outlineLvl w:val="9"/>
        <w:rPr>
          <w:rFonts w:hint="default" w:ascii="Times New Roman" w:hAnsi="Times New Roman" w:eastAsia="宋体" w:cs="宋体"/>
          <w:caps w:val="0"/>
          <w:sz w:val="24"/>
          <w:szCs w:val="24"/>
          <w:highlight w:val="none"/>
          <w:lang w:val="en-US" w:eastAsia="zh-CN"/>
        </w:rPr>
      </w:pPr>
      <w:r>
        <w:rPr>
          <w:rFonts w:hint="default" w:ascii="Times New Roman" w:hAnsi="Times New Roman" w:eastAsia="宋体" w:cs="宋体"/>
          <w:caps w:val="0"/>
          <w:sz w:val="24"/>
          <w:szCs w:val="24"/>
          <w:highlight w:val="none"/>
          <w:lang w:val="en-US" w:eastAsia="zh-CN"/>
        </w:rPr>
        <w:drawing>
          <wp:inline distT="0" distB="0" distL="114300" distR="114300">
            <wp:extent cx="4487545" cy="2488565"/>
            <wp:effectExtent l="0" t="0" r="8255" b="6985"/>
            <wp:docPr id="109" name="图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spacing w:line="360" w:lineRule="auto"/>
        <w:jc w:val="center"/>
        <w:rPr>
          <w:rFonts w:ascii="Times New Roman" w:hAnsi="Times New Roman" w:eastAsia="宋体"/>
          <w:highlight w:val="none"/>
        </w:rPr>
      </w:pPr>
      <w:r>
        <w:rPr>
          <w:rFonts w:ascii="Times New Roman" w:hAnsi="Times New Roman" w:eastAsia="宋体" w:cs="黑体"/>
          <w:b/>
          <w:color w:val="0F6FC6"/>
          <w:sz w:val="21"/>
          <w:highlight w:val="none"/>
          <w:u w:color="auto"/>
        </w:rPr>
        <w:t>图6-</w:t>
      </w:r>
      <w:r>
        <w:rPr>
          <w:rFonts w:hint="eastAsia" w:cs="黑体"/>
          <w:b/>
          <w:color w:val="0F6FC6"/>
          <w:sz w:val="21"/>
          <w:highlight w:val="none"/>
          <w:u w:color="auto"/>
          <w:lang w:val="en-US" w:eastAsia="zh-CN"/>
        </w:rPr>
        <w:t>6</w:t>
      </w:r>
      <w:r>
        <w:rPr>
          <w:rFonts w:ascii="Times New Roman" w:hAnsi="Times New Roman" w:eastAsia="宋体" w:cs="黑体"/>
          <w:b/>
          <w:color w:val="0F6FC6"/>
          <w:sz w:val="21"/>
          <w:highlight w:val="none"/>
          <w:u w:color="auto"/>
        </w:rPr>
        <w:t xml:space="preserve">  202</w:t>
      </w:r>
      <w:r>
        <w:rPr>
          <w:rFonts w:hint="eastAsia" w:ascii="Times New Roman" w:hAnsi="Times New Roman" w:eastAsia="宋体" w:cs="黑体"/>
          <w:b/>
          <w:color w:val="0F6FC6"/>
          <w:sz w:val="21"/>
          <w:highlight w:val="none"/>
          <w:u w:color="auto"/>
          <w:lang w:val="en-US" w:eastAsia="zh-CN"/>
        </w:rPr>
        <w:t>1</w:t>
      </w:r>
      <w:r>
        <w:rPr>
          <w:rFonts w:ascii="Times New Roman" w:hAnsi="Times New Roman" w:eastAsia="宋体" w:cs="黑体"/>
          <w:b/>
          <w:color w:val="0F6FC6"/>
          <w:sz w:val="21"/>
          <w:highlight w:val="none"/>
          <w:u w:color="auto"/>
        </w:rPr>
        <w:t>-202</w:t>
      </w:r>
      <w:r>
        <w:rPr>
          <w:rFonts w:hint="eastAsia" w:ascii="Times New Roman" w:hAnsi="Times New Roman" w:eastAsia="宋体" w:cs="黑体"/>
          <w:b/>
          <w:color w:val="0F6FC6"/>
          <w:sz w:val="21"/>
          <w:highlight w:val="none"/>
          <w:u w:color="auto"/>
          <w:lang w:val="en-US" w:eastAsia="zh-CN"/>
        </w:rPr>
        <w:t>3</w:t>
      </w:r>
      <w:r>
        <w:rPr>
          <w:rFonts w:ascii="Times New Roman" w:hAnsi="Times New Roman" w:eastAsia="宋体" w:cs="黑体"/>
          <w:b/>
          <w:color w:val="0F6FC6"/>
          <w:sz w:val="21"/>
          <w:highlight w:val="none"/>
          <w:u w:color="auto"/>
        </w:rPr>
        <w:t>届毕业生</w:t>
      </w:r>
      <w:r>
        <w:rPr>
          <w:rFonts w:hint="eastAsia" w:cs="黑体"/>
          <w:b/>
          <w:color w:val="0F6FC6"/>
          <w:sz w:val="21"/>
          <w:highlight w:val="none"/>
          <w:u w:color="auto"/>
          <w:lang w:val="en-US" w:eastAsia="zh-CN"/>
        </w:rPr>
        <w:t>工作满意度</w:t>
      </w:r>
      <w:r>
        <w:rPr>
          <w:rFonts w:ascii="Times New Roman" w:hAnsi="Times New Roman" w:eastAsia="宋体" w:cs="黑体"/>
          <w:b/>
          <w:color w:val="0F6FC6"/>
          <w:sz w:val="21"/>
          <w:highlight w:val="none"/>
          <w:u w:color="auto"/>
        </w:rPr>
        <w:t>变化趋势</w:t>
      </w:r>
    </w:p>
    <w:p>
      <w:pPr>
        <w:spacing w:after="100" w:line="240" w:lineRule="auto"/>
        <w:rPr>
          <w:rFonts w:hint="eastAsia" w:ascii="Times New Roman" w:hAnsi="Times New Roman" w:eastAsia="宋体" w:cs="Times New Roman"/>
          <w:color w:val="0F6FC6"/>
          <w:sz w:val="18"/>
          <w:u w:color="auto"/>
          <w:lang w:eastAsia="zh-CN"/>
        </w:rPr>
      </w:pPr>
      <w:r>
        <w:rPr>
          <w:rFonts w:hint="eastAsia" w:ascii="Times New Roman" w:hAnsi="Times New Roman" w:eastAsia="宋体" w:cs="Times New Roman"/>
          <w:color w:val="0F6FC6"/>
          <w:sz w:val="18"/>
          <w:u w:color="auto"/>
          <w:lang w:eastAsia="zh-CN"/>
        </w:rPr>
        <w:t>数据来源：</w:t>
      </w:r>
      <w:r>
        <w:rPr>
          <w:rFonts w:hint="eastAsia" w:ascii="Times New Roman" w:hAnsi="Times New Roman" w:eastAsia="宋体" w:cs="Times New Roman"/>
          <w:color w:val="0F6FC6"/>
          <w:sz w:val="18"/>
          <w:u w:color="auto"/>
          <w:lang w:val="en-US" w:eastAsia="zh-CN"/>
        </w:rPr>
        <w:t>1.2021届-2022届数据来自</w:t>
      </w:r>
      <w:r>
        <w:rPr>
          <w:rFonts w:hint="eastAsia" w:ascii="Times New Roman" w:hAnsi="Times New Roman" w:eastAsia="宋体" w:cs="Times New Roman"/>
          <w:color w:val="0F6FC6"/>
          <w:sz w:val="18"/>
          <w:u w:color="auto"/>
          <w:lang w:eastAsia="zh-CN"/>
        </w:rPr>
        <w:t>《</w:t>
      </w:r>
      <w:r>
        <w:rPr>
          <w:rFonts w:hint="eastAsia" w:cs="Times New Roman"/>
          <w:color w:val="0F6FC6"/>
          <w:sz w:val="18"/>
          <w:u w:color="auto"/>
          <w:lang w:val="en-US" w:eastAsia="zh-CN"/>
        </w:rPr>
        <w:t>晋中学院</w:t>
      </w:r>
      <w:r>
        <w:rPr>
          <w:rFonts w:hint="eastAsia" w:ascii="Times New Roman" w:hAnsi="Times New Roman" w:eastAsia="宋体" w:cs="Times New Roman"/>
          <w:color w:val="0F6FC6"/>
          <w:sz w:val="18"/>
          <w:u w:color="auto"/>
          <w:lang w:val="en-US" w:eastAsia="zh-CN"/>
        </w:rPr>
        <w:t>2022</w:t>
      </w:r>
      <w:r>
        <w:rPr>
          <w:rFonts w:hint="eastAsia" w:ascii="Times New Roman" w:hAnsi="Times New Roman" w:eastAsia="宋体" w:cs="Times New Roman"/>
          <w:color w:val="0F6FC6"/>
          <w:sz w:val="18"/>
          <w:u w:color="auto"/>
          <w:lang w:eastAsia="zh-CN"/>
        </w:rPr>
        <w:t>届就业质量年度报告》</w:t>
      </w:r>
    </w:p>
    <w:p>
      <w:pPr>
        <w:spacing w:after="100" w:line="240" w:lineRule="auto"/>
        <w:ind w:firstLine="900" w:firstLineChars="500"/>
        <w:rPr>
          <w:highlight w:val="none"/>
        </w:rPr>
      </w:pPr>
      <w:r>
        <w:rPr>
          <w:rFonts w:hint="eastAsia" w:ascii="Times New Roman" w:hAnsi="Times New Roman" w:eastAsia="宋体" w:cs="Times New Roman"/>
          <w:color w:val="0F6FC6"/>
          <w:sz w:val="18"/>
          <w:highlight w:val="none"/>
          <w:u w:color="auto"/>
          <w:lang w:val="en-US" w:eastAsia="zh-CN"/>
        </w:rPr>
        <w:t>2.2023届数据来自</w:t>
      </w:r>
      <w:r>
        <w:rPr>
          <w:rFonts w:hint="eastAsia" w:cs="Times New Roman"/>
          <w:color w:val="0F6FC6"/>
          <w:sz w:val="18"/>
          <w:highlight w:val="none"/>
          <w:u w:color="auto"/>
          <w:lang w:eastAsia="zh-CN"/>
        </w:rPr>
        <w:t>第三方机构叁壹科技（山西）有限公司-2023届毕业生就业与培养质量调查</w:t>
      </w:r>
      <w:r>
        <w:rPr>
          <w:rFonts w:hint="eastAsia" w:ascii="Times New Roman" w:hAnsi="Times New Roman" w:eastAsia="宋体" w:cs="Times New Roman"/>
          <w:color w:val="0F6FC6"/>
          <w:sz w:val="18"/>
          <w:highlight w:val="none"/>
          <w:u w:color="auto"/>
          <w:lang w:eastAsia="zh-CN"/>
        </w:rPr>
        <w:t>。</w:t>
      </w:r>
    </w:p>
    <w:p>
      <w:pPr>
        <w:numPr>
          <w:ilvl w:val="1"/>
          <w:numId w:val="62"/>
        </w:numPr>
        <w:shd w:val="clear" w:color="auto" w:fill="FFFFFF"/>
        <w:spacing w:before="15" w:after="15" w:line="360" w:lineRule="auto"/>
        <w:jc w:val="left"/>
        <w:outlineLvl w:val="9"/>
        <w:rPr>
          <w:rFonts w:hint="eastAsia" w:ascii="Times New Roman" w:hAnsi="Times New Roman" w:eastAsia="宋体" w:cs="宋体"/>
          <w:caps w:val="0"/>
          <w:sz w:val="24"/>
          <w:szCs w:val="24"/>
          <w:highlight w:val="none"/>
          <w:lang w:val="en-US" w:eastAsia="zh-CN"/>
        </w:rPr>
      </w:pPr>
      <w:r>
        <w:rPr>
          <w:rFonts w:hint="eastAsia" w:cs="宋体"/>
          <w:caps w:val="0"/>
          <w:sz w:val="24"/>
          <w:szCs w:val="24"/>
          <w:highlight w:val="none"/>
          <w:lang w:val="en-US" w:eastAsia="zh-CN"/>
        </w:rPr>
        <w:t>学校</w:t>
      </w:r>
      <w:r>
        <w:rPr>
          <w:rFonts w:hint="eastAsia" w:ascii="Times New Roman" w:hAnsi="Times New Roman" w:eastAsia="宋体" w:cs="宋体"/>
          <w:caps w:val="0"/>
          <w:sz w:val="24"/>
          <w:szCs w:val="24"/>
          <w:highlight w:val="none"/>
          <w:lang w:val="en-US" w:eastAsia="zh-CN"/>
        </w:rPr>
        <w:t>2023届毕业生的</w:t>
      </w:r>
      <w:r>
        <w:rPr>
          <w:rFonts w:hint="eastAsia" w:cs="宋体"/>
          <w:caps w:val="0"/>
          <w:sz w:val="24"/>
          <w:szCs w:val="24"/>
          <w:highlight w:val="none"/>
          <w:lang w:val="en-US" w:eastAsia="zh-CN"/>
        </w:rPr>
        <w:t>职业期待吻合</w:t>
      </w:r>
      <w:r>
        <w:rPr>
          <w:rFonts w:hint="eastAsia" w:ascii="Times New Roman" w:hAnsi="Times New Roman" w:eastAsia="宋体" w:cs="宋体"/>
          <w:caps w:val="0"/>
          <w:sz w:val="24"/>
          <w:szCs w:val="24"/>
          <w:highlight w:val="none"/>
          <w:lang w:val="en-US" w:eastAsia="zh-CN"/>
        </w:rPr>
        <w:t>度为</w:t>
      </w:r>
      <w:r>
        <w:rPr>
          <w:rFonts w:hint="eastAsia" w:cs="宋体"/>
          <w:caps w:val="0"/>
          <w:sz w:val="24"/>
          <w:szCs w:val="24"/>
          <w:highlight w:val="none"/>
          <w:lang w:val="en-US" w:eastAsia="zh-CN"/>
        </w:rPr>
        <w:t>91.35</w:t>
      </w:r>
      <w:r>
        <w:rPr>
          <w:rFonts w:hint="eastAsia" w:ascii="Times New Roman" w:hAnsi="Times New Roman" w:eastAsia="宋体" w:cs="宋体"/>
          <w:caps w:val="0"/>
          <w:sz w:val="24"/>
          <w:szCs w:val="24"/>
          <w:highlight w:val="none"/>
          <w:lang w:val="en-US" w:eastAsia="zh-CN"/>
        </w:rPr>
        <w:t>%，</w:t>
      </w:r>
      <w:r>
        <w:rPr>
          <w:rFonts w:hint="eastAsia" w:cs="宋体"/>
          <w:caps w:val="0"/>
          <w:sz w:val="24"/>
          <w:szCs w:val="24"/>
          <w:highlight w:val="none"/>
          <w:lang w:val="en-US" w:eastAsia="zh-CN"/>
        </w:rPr>
        <w:t>较</w:t>
      </w:r>
      <w:r>
        <w:rPr>
          <w:rFonts w:hint="eastAsia" w:ascii="Times New Roman" w:hAnsi="Times New Roman" w:eastAsia="宋体" w:cs="宋体"/>
          <w:caps w:val="0"/>
          <w:sz w:val="24"/>
          <w:szCs w:val="24"/>
          <w:highlight w:val="none"/>
          <w:lang w:val="en-US" w:eastAsia="zh-CN"/>
        </w:rPr>
        <w:t>202</w:t>
      </w:r>
      <w:r>
        <w:rPr>
          <w:rFonts w:hint="eastAsia" w:cs="宋体"/>
          <w:caps w:val="0"/>
          <w:sz w:val="24"/>
          <w:szCs w:val="24"/>
          <w:highlight w:val="none"/>
          <w:lang w:val="en-US" w:eastAsia="zh-CN"/>
        </w:rPr>
        <w:t>2</w:t>
      </w:r>
      <w:r>
        <w:rPr>
          <w:rFonts w:hint="eastAsia" w:ascii="Times New Roman" w:hAnsi="Times New Roman" w:eastAsia="宋体" w:cs="宋体"/>
          <w:caps w:val="0"/>
          <w:sz w:val="24"/>
          <w:szCs w:val="24"/>
          <w:highlight w:val="none"/>
          <w:lang w:val="en-US" w:eastAsia="zh-CN"/>
        </w:rPr>
        <w:t>届</w:t>
      </w:r>
      <w:r>
        <w:rPr>
          <w:rFonts w:hint="eastAsia" w:cs="宋体"/>
          <w:caps w:val="0"/>
          <w:sz w:val="24"/>
          <w:szCs w:val="24"/>
          <w:highlight w:val="none"/>
          <w:lang w:val="en-US" w:eastAsia="zh-CN"/>
        </w:rPr>
        <w:t>上涨33.35</w:t>
      </w:r>
      <w:r>
        <w:rPr>
          <w:rFonts w:hint="eastAsia" w:ascii="Times New Roman" w:hAnsi="Times New Roman" w:eastAsia="宋体" w:cs="宋体"/>
          <w:caps w:val="0"/>
          <w:sz w:val="24"/>
          <w:szCs w:val="24"/>
          <w:highlight w:val="none"/>
          <w:lang w:val="en-US" w:eastAsia="zh-CN"/>
        </w:rPr>
        <w:t>个百分点，毕业生的</w:t>
      </w:r>
      <w:r>
        <w:rPr>
          <w:rFonts w:hint="eastAsia" w:cs="宋体"/>
          <w:caps w:val="0"/>
          <w:sz w:val="24"/>
          <w:szCs w:val="24"/>
          <w:highlight w:val="none"/>
          <w:lang w:val="en-US" w:eastAsia="zh-CN"/>
        </w:rPr>
        <w:t>职业期待吻合度</w:t>
      </w:r>
      <w:r>
        <w:rPr>
          <w:rFonts w:hint="eastAsia" w:ascii="Times New Roman" w:hAnsi="Times New Roman" w:eastAsia="宋体" w:cs="宋体"/>
          <w:caps w:val="0"/>
          <w:sz w:val="24"/>
          <w:szCs w:val="24"/>
          <w:highlight w:val="none"/>
          <w:lang w:val="en-US" w:eastAsia="zh-CN"/>
        </w:rPr>
        <w:t>整体</w:t>
      </w:r>
      <w:r>
        <w:rPr>
          <w:rFonts w:hint="eastAsia" w:cs="宋体"/>
          <w:caps w:val="0"/>
          <w:sz w:val="24"/>
          <w:szCs w:val="24"/>
          <w:highlight w:val="none"/>
          <w:lang w:val="en-US" w:eastAsia="zh-CN"/>
        </w:rPr>
        <w:t>上升</w:t>
      </w:r>
      <w:r>
        <w:rPr>
          <w:rFonts w:hint="eastAsia" w:ascii="Times New Roman" w:hAnsi="Times New Roman" w:eastAsia="宋体" w:cs="宋体"/>
          <w:caps w:val="0"/>
          <w:sz w:val="24"/>
          <w:szCs w:val="24"/>
          <w:highlight w:val="none"/>
          <w:lang w:val="en-US" w:eastAsia="zh-CN"/>
        </w:rPr>
        <w:t>。</w:t>
      </w:r>
    </w:p>
    <w:p>
      <w:pPr>
        <w:numPr>
          <w:ilvl w:val="1"/>
          <w:numId w:val="62"/>
        </w:numPr>
        <w:shd w:val="clear" w:color="auto" w:fill="FFFFFF"/>
        <w:spacing w:before="15" w:after="15" w:line="360" w:lineRule="auto"/>
        <w:jc w:val="center"/>
        <w:outlineLvl w:val="9"/>
        <w:rPr>
          <w:rFonts w:hint="default" w:ascii="Times New Roman" w:hAnsi="Times New Roman" w:eastAsia="宋体" w:cs="宋体"/>
          <w:caps w:val="0"/>
          <w:sz w:val="24"/>
          <w:szCs w:val="24"/>
          <w:highlight w:val="none"/>
          <w:lang w:val="en-US" w:eastAsia="zh-CN"/>
        </w:rPr>
      </w:pPr>
      <w:r>
        <w:rPr>
          <w:rFonts w:hint="default" w:ascii="Times New Roman" w:hAnsi="Times New Roman" w:eastAsia="宋体" w:cs="宋体"/>
          <w:caps w:val="0"/>
          <w:sz w:val="24"/>
          <w:szCs w:val="24"/>
          <w:highlight w:val="none"/>
          <w:lang w:val="en-US" w:eastAsia="zh-CN"/>
        </w:rPr>
        <w:drawing>
          <wp:inline distT="0" distB="0" distL="114300" distR="114300">
            <wp:extent cx="4583430" cy="2584450"/>
            <wp:effectExtent l="0" t="0" r="7620" b="6350"/>
            <wp:docPr id="110" name="图表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spacing w:line="360" w:lineRule="auto"/>
        <w:jc w:val="center"/>
        <w:rPr>
          <w:rFonts w:ascii="Times New Roman" w:hAnsi="Times New Roman" w:eastAsia="宋体"/>
          <w:highlight w:val="none"/>
        </w:rPr>
      </w:pPr>
      <w:r>
        <w:rPr>
          <w:rFonts w:ascii="Times New Roman" w:hAnsi="Times New Roman" w:eastAsia="宋体" w:cs="黑体"/>
          <w:b/>
          <w:color w:val="0F6FC6"/>
          <w:sz w:val="21"/>
          <w:highlight w:val="none"/>
          <w:u w:color="auto"/>
        </w:rPr>
        <w:t>图6-</w:t>
      </w:r>
      <w:r>
        <w:rPr>
          <w:rFonts w:hint="eastAsia" w:cs="黑体"/>
          <w:b/>
          <w:color w:val="0F6FC6"/>
          <w:sz w:val="21"/>
          <w:highlight w:val="none"/>
          <w:u w:color="auto"/>
          <w:lang w:val="en-US" w:eastAsia="zh-CN"/>
        </w:rPr>
        <w:t>7</w:t>
      </w:r>
      <w:r>
        <w:rPr>
          <w:rFonts w:ascii="Times New Roman" w:hAnsi="Times New Roman" w:eastAsia="宋体" w:cs="黑体"/>
          <w:b/>
          <w:color w:val="0F6FC6"/>
          <w:sz w:val="21"/>
          <w:highlight w:val="none"/>
          <w:u w:color="auto"/>
        </w:rPr>
        <w:t xml:space="preserve">  202</w:t>
      </w:r>
      <w:r>
        <w:rPr>
          <w:rFonts w:hint="eastAsia" w:ascii="Times New Roman" w:hAnsi="Times New Roman" w:eastAsia="宋体" w:cs="黑体"/>
          <w:b/>
          <w:color w:val="0F6FC6"/>
          <w:sz w:val="21"/>
          <w:highlight w:val="none"/>
          <w:u w:color="auto"/>
          <w:lang w:val="en-US" w:eastAsia="zh-CN"/>
        </w:rPr>
        <w:t>1</w:t>
      </w:r>
      <w:r>
        <w:rPr>
          <w:rFonts w:ascii="Times New Roman" w:hAnsi="Times New Roman" w:eastAsia="宋体" w:cs="黑体"/>
          <w:b/>
          <w:color w:val="0F6FC6"/>
          <w:sz w:val="21"/>
          <w:highlight w:val="none"/>
          <w:u w:color="auto"/>
        </w:rPr>
        <w:t>-202</w:t>
      </w:r>
      <w:r>
        <w:rPr>
          <w:rFonts w:hint="eastAsia" w:ascii="Times New Roman" w:hAnsi="Times New Roman" w:eastAsia="宋体" w:cs="黑体"/>
          <w:b/>
          <w:color w:val="0F6FC6"/>
          <w:sz w:val="21"/>
          <w:highlight w:val="none"/>
          <w:u w:color="auto"/>
          <w:lang w:val="en-US" w:eastAsia="zh-CN"/>
        </w:rPr>
        <w:t>3</w:t>
      </w:r>
      <w:r>
        <w:rPr>
          <w:rFonts w:ascii="Times New Roman" w:hAnsi="Times New Roman" w:eastAsia="宋体" w:cs="黑体"/>
          <w:b/>
          <w:color w:val="0F6FC6"/>
          <w:sz w:val="21"/>
          <w:highlight w:val="none"/>
          <w:u w:color="auto"/>
        </w:rPr>
        <w:t>届毕业生</w:t>
      </w:r>
      <w:r>
        <w:rPr>
          <w:rFonts w:hint="eastAsia" w:cs="黑体"/>
          <w:b/>
          <w:color w:val="0F6FC6"/>
          <w:sz w:val="21"/>
          <w:highlight w:val="none"/>
          <w:u w:color="auto"/>
          <w:lang w:val="en-US" w:eastAsia="zh-CN"/>
        </w:rPr>
        <w:t>职业期待吻合度</w:t>
      </w:r>
      <w:r>
        <w:rPr>
          <w:rFonts w:ascii="Times New Roman" w:hAnsi="Times New Roman" w:eastAsia="宋体" w:cs="黑体"/>
          <w:b/>
          <w:color w:val="0F6FC6"/>
          <w:sz w:val="21"/>
          <w:highlight w:val="none"/>
          <w:u w:color="auto"/>
        </w:rPr>
        <w:t>变化趋势</w:t>
      </w:r>
    </w:p>
    <w:p>
      <w:pPr>
        <w:spacing w:after="100" w:line="240" w:lineRule="auto"/>
        <w:rPr>
          <w:rFonts w:hint="eastAsia" w:ascii="Times New Roman" w:hAnsi="Times New Roman" w:eastAsia="宋体" w:cs="Times New Roman"/>
          <w:color w:val="0F6FC6"/>
          <w:sz w:val="18"/>
          <w:u w:color="auto"/>
          <w:lang w:eastAsia="zh-CN"/>
        </w:rPr>
      </w:pPr>
      <w:r>
        <w:rPr>
          <w:rFonts w:hint="eastAsia" w:ascii="Times New Roman" w:hAnsi="Times New Roman" w:eastAsia="宋体" w:cs="Times New Roman"/>
          <w:color w:val="0F6FC6"/>
          <w:sz w:val="18"/>
          <w:u w:color="auto"/>
          <w:lang w:eastAsia="zh-CN"/>
        </w:rPr>
        <w:t>数据来源：</w:t>
      </w:r>
      <w:r>
        <w:rPr>
          <w:rFonts w:hint="eastAsia" w:ascii="Times New Roman" w:hAnsi="Times New Roman" w:eastAsia="宋体" w:cs="Times New Roman"/>
          <w:color w:val="0F6FC6"/>
          <w:sz w:val="18"/>
          <w:u w:color="auto"/>
          <w:lang w:val="en-US" w:eastAsia="zh-CN"/>
        </w:rPr>
        <w:t>1.2021届-2022届数据来自</w:t>
      </w:r>
      <w:r>
        <w:rPr>
          <w:rFonts w:hint="eastAsia" w:ascii="Times New Roman" w:hAnsi="Times New Roman" w:eastAsia="宋体" w:cs="Times New Roman"/>
          <w:color w:val="0F6FC6"/>
          <w:sz w:val="18"/>
          <w:u w:color="auto"/>
          <w:lang w:eastAsia="zh-CN"/>
        </w:rPr>
        <w:t>《</w:t>
      </w:r>
      <w:r>
        <w:rPr>
          <w:rFonts w:hint="eastAsia" w:cs="Times New Roman"/>
          <w:color w:val="0F6FC6"/>
          <w:sz w:val="18"/>
          <w:u w:color="auto"/>
          <w:lang w:val="en-US" w:eastAsia="zh-CN"/>
        </w:rPr>
        <w:t>晋中学院</w:t>
      </w:r>
      <w:r>
        <w:rPr>
          <w:rFonts w:hint="eastAsia" w:ascii="Times New Roman" w:hAnsi="Times New Roman" w:eastAsia="宋体" w:cs="Times New Roman"/>
          <w:color w:val="0F6FC6"/>
          <w:sz w:val="18"/>
          <w:u w:color="auto"/>
          <w:lang w:val="en-US" w:eastAsia="zh-CN"/>
        </w:rPr>
        <w:t>2022</w:t>
      </w:r>
      <w:r>
        <w:rPr>
          <w:rFonts w:hint="eastAsia" w:ascii="Times New Roman" w:hAnsi="Times New Roman" w:eastAsia="宋体" w:cs="Times New Roman"/>
          <w:color w:val="0F6FC6"/>
          <w:sz w:val="18"/>
          <w:u w:color="auto"/>
          <w:lang w:eastAsia="zh-CN"/>
        </w:rPr>
        <w:t>届就业质量年度报告》</w:t>
      </w:r>
    </w:p>
    <w:p>
      <w:pPr>
        <w:spacing w:after="100" w:line="240" w:lineRule="auto"/>
        <w:ind w:firstLine="900" w:firstLineChars="500"/>
        <w:rPr>
          <w:highlight w:val="none"/>
        </w:rPr>
      </w:pPr>
      <w:r>
        <w:rPr>
          <w:rFonts w:hint="eastAsia" w:ascii="Times New Roman" w:hAnsi="Times New Roman" w:eastAsia="宋体" w:cs="Times New Roman"/>
          <w:color w:val="0F6FC6"/>
          <w:sz w:val="18"/>
          <w:highlight w:val="none"/>
          <w:u w:color="auto"/>
          <w:lang w:val="en-US" w:eastAsia="zh-CN"/>
        </w:rPr>
        <w:t>2.2023届数据来自</w:t>
      </w:r>
      <w:r>
        <w:rPr>
          <w:rFonts w:hint="eastAsia" w:cs="Times New Roman"/>
          <w:color w:val="0F6FC6"/>
          <w:sz w:val="18"/>
          <w:highlight w:val="none"/>
          <w:u w:color="auto"/>
          <w:lang w:eastAsia="zh-CN"/>
        </w:rPr>
        <w:t>第三方机构叁壹科技（山西）有限公司-2023届毕业生就业与培养质量调查</w:t>
      </w:r>
      <w:r>
        <w:rPr>
          <w:rFonts w:hint="eastAsia" w:ascii="Times New Roman" w:hAnsi="Times New Roman" w:eastAsia="宋体" w:cs="Times New Roman"/>
          <w:color w:val="0F6FC6"/>
          <w:sz w:val="18"/>
          <w:highlight w:val="none"/>
          <w:u w:color="auto"/>
          <w:lang w:eastAsia="zh-CN"/>
        </w:rPr>
        <w:t>。</w:t>
      </w:r>
    </w:p>
    <w:p>
      <w:pPr>
        <w:numPr>
          <w:ilvl w:val="1"/>
          <w:numId w:val="62"/>
        </w:numPr>
        <w:shd w:val="clear" w:color="auto" w:fill="FFFFFF"/>
        <w:spacing w:before="15" w:after="15" w:line="360" w:lineRule="auto"/>
        <w:jc w:val="left"/>
        <w:outlineLvl w:val="9"/>
        <w:rPr>
          <w:rFonts w:hint="eastAsia" w:ascii="Times New Roman" w:hAnsi="Times New Roman" w:eastAsia="宋体" w:cs="宋体"/>
          <w:caps w:val="0"/>
          <w:sz w:val="24"/>
          <w:szCs w:val="24"/>
          <w:highlight w:val="none"/>
          <w:lang w:val="en-US" w:eastAsia="zh-CN"/>
        </w:rPr>
      </w:pPr>
      <w:r>
        <w:rPr>
          <w:rFonts w:hint="eastAsia" w:cs="宋体"/>
          <w:caps w:val="0"/>
          <w:sz w:val="24"/>
          <w:szCs w:val="24"/>
          <w:highlight w:val="none"/>
          <w:lang w:val="en-US" w:eastAsia="zh-CN"/>
        </w:rPr>
        <w:t>学校</w:t>
      </w:r>
      <w:r>
        <w:rPr>
          <w:rFonts w:hint="eastAsia" w:ascii="Times New Roman" w:hAnsi="Times New Roman" w:eastAsia="宋体" w:cs="宋体"/>
          <w:caps w:val="0"/>
          <w:sz w:val="24"/>
          <w:szCs w:val="24"/>
          <w:highlight w:val="none"/>
          <w:lang w:val="en-US" w:eastAsia="zh-CN"/>
        </w:rPr>
        <w:t>2023届毕业生的</w:t>
      </w:r>
      <w:r>
        <w:rPr>
          <w:rFonts w:hint="eastAsia" w:cs="宋体"/>
          <w:caps w:val="0"/>
          <w:sz w:val="24"/>
          <w:szCs w:val="24"/>
          <w:highlight w:val="none"/>
          <w:lang w:val="en-US" w:eastAsia="zh-CN"/>
        </w:rPr>
        <w:t>离职率</w:t>
      </w:r>
      <w:r>
        <w:rPr>
          <w:rFonts w:hint="eastAsia" w:ascii="Times New Roman" w:hAnsi="Times New Roman" w:eastAsia="宋体" w:cs="宋体"/>
          <w:caps w:val="0"/>
          <w:sz w:val="24"/>
          <w:szCs w:val="24"/>
          <w:highlight w:val="none"/>
          <w:lang w:val="en-US" w:eastAsia="zh-CN"/>
        </w:rPr>
        <w:t>为</w:t>
      </w:r>
      <w:r>
        <w:rPr>
          <w:rFonts w:hint="eastAsia" w:cs="宋体"/>
          <w:caps w:val="0"/>
          <w:sz w:val="24"/>
          <w:szCs w:val="24"/>
          <w:highlight w:val="none"/>
          <w:lang w:val="en-US" w:eastAsia="zh-CN"/>
        </w:rPr>
        <w:t>16.67</w:t>
      </w:r>
      <w:r>
        <w:rPr>
          <w:rFonts w:hint="eastAsia" w:ascii="Times New Roman" w:hAnsi="Times New Roman" w:eastAsia="宋体" w:cs="宋体"/>
          <w:caps w:val="0"/>
          <w:sz w:val="24"/>
          <w:szCs w:val="24"/>
          <w:highlight w:val="none"/>
          <w:lang w:val="en-US" w:eastAsia="zh-CN"/>
        </w:rPr>
        <w:t>%，</w:t>
      </w:r>
      <w:r>
        <w:rPr>
          <w:rFonts w:hint="eastAsia" w:cs="宋体"/>
          <w:caps w:val="0"/>
          <w:sz w:val="24"/>
          <w:szCs w:val="24"/>
          <w:highlight w:val="none"/>
          <w:lang w:val="en-US" w:eastAsia="zh-CN"/>
        </w:rPr>
        <w:t>较</w:t>
      </w:r>
      <w:r>
        <w:rPr>
          <w:rFonts w:hint="eastAsia" w:ascii="Times New Roman" w:hAnsi="Times New Roman" w:eastAsia="宋体" w:cs="宋体"/>
          <w:caps w:val="0"/>
          <w:sz w:val="24"/>
          <w:szCs w:val="24"/>
          <w:highlight w:val="none"/>
          <w:lang w:val="en-US" w:eastAsia="zh-CN"/>
        </w:rPr>
        <w:t>202</w:t>
      </w:r>
      <w:r>
        <w:rPr>
          <w:rFonts w:hint="eastAsia" w:cs="宋体"/>
          <w:caps w:val="0"/>
          <w:sz w:val="24"/>
          <w:szCs w:val="24"/>
          <w:highlight w:val="none"/>
          <w:lang w:val="en-US" w:eastAsia="zh-CN"/>
        </w:rPr>
        <w:t>2</w:t>
      </w:r>
      <w:r>
        <w:rPr>
          <w:rFonts w:hint="eastAsia" w:ascii="Times New Roman" w:hAnsi="Times New Roman" w:eastAsia="宋体" w:cs="宋体"/>
          <w:caps w:val="0"/>
          <w:sz w:val="24"/>
          <w:szCs w:val="24"/>
          <w:highlight w:val="none"/>
          <w:lang w:val="en-US" w:eastAsia="zh-CN"/>
        </w:rPr>
        <w:t>届</w:t>
      </w:r>
      <w:r>
        <w:rPr>
          <w:rFonts w:hint="eastAsia" w:cs="宋体"/>
          <w:caps w:val="0"/>
          <w:sz w:val="24"/>
          <w:szCs w:val="24"/>
          <w:highlight w:val="none"/>
          <w:lang w:val="en-US" w:eastAsia="zh-CN"/>
        </w:rPr>
        <w:t>下降5.33</w:t>
      </w:r>
      <w:r>
        <w:rPr>
          <w:rFonts w:hint="eastAsia" w:ascii="Times New Roman" w:hAnsi="Times New Roman" w:eastAsia="宋体" w:cs="宋体"/>
          <w:caps w:val="0"/>
          <w:sz w:val="24"/>
          <w:szCs w:val="24"/>
          <w:highlight w:val="none"/>
          <w:lang w:val="en-US" w:eastAsia="zh-CN"/>
        </w:rPr>
        <w:t>个百分点，毕业生的</w:t>
      </w:r>
      <w:r>
        <w:rPr>
          <w:rFonts w:hint="eastAsia" w:cs="宋体"/>
          <w:caps w:val="0"/>
          <w:sz w:val="24"/>
          <w:szCs w:val="24"/>
          <w:highlight w:val="none"/>
          <w:lang w:val="en-US" w:eastAsia="zh-CN"/>
        </w:rPr>
        <w:t>离职率</w:t>
      </w:r>
      <w:r>
        <w:rPr>
          <w:rFonts w:hint="eastAsia" w:ascii="Times New Roman" w:hAnsi="Times New Roman" w:eastAsia="宋体" w:cs="宋体"/>
          <w:caps w:val="0"/>
          <w:sz w:val="24"/>
          <w:szCs w:val="24"/>
          <w:highlight w:val="none"/>
          <w:lang w:val="en-US" w:eastAsia="zh-CN"/>
        </w:rPr>
        <w:t>整体</w:t>
      </w:r>
      <w:r>
        <w:rPr>
          <w:rFonts w:hint="eastAsia" w:cs="宋体"/>
          <w:caps w:val="0"/>
          <w:sz w:val="24"/>
          <w:szCs w:val="24"/>
          <w:highlight w:val="none"/>
          <w:lang w:val="en-US" w:eastAsia="zh-CN"/>
        </w:rPr>
        <w:t>下降</w:t>
      </w:r>
      <w:r>
        <w:rPr>
          <w:rFonts w:hint="eastAsia" w:ascii="Times New Roman" w:hAnsi="Times New Roman" w:eastAsia="宋体" w:cs="宋体"/>
          <w:caps w:val="0"/>
          <w:sz w:val="24"/>
          <w:szCs w:val="24"/>
          <w:highlight w:val="none"/>
          <w:lang w:val="en-US" w:eastAsia="zh-CN"/>
        </w:rPr>
        <w:t>。</w:t>
      </w:r>
    </w:p>
    <w:p>
      <w:pPr>
        <w:numPr>
          <w:ilvl w:val="1"/>
          <w:numId w:val="62"/>
        </w:numPr>
        <w:shd w:val="clear" w:color="auto" w:fill="FFFFFF"/>
        <w:spacing w:before="15" w:after="15" w:line="360" w:lineRule="auto"/>
        <w:jc w:val="center"/>
        <w:outlineLvl w:val="9"/>
        <w:rPr>
          <w:rFonts w:hint="default" w:ascii="Times New Roman" w:hAnsi="Times New Roman" w:eastAsia="宋体" w:cs="宋体"/>
          <w:caps w:val="0"/>
          <w:sz w:val="24"/>
          <w:szCs w:val="24"/>
          <w:highlight w:val="none"/>
          <w:lang w:val="en-US" w:eastAsia="zh-CN"/>
        </w:rPr>
      </w:pPr>
      <w:r>
        <w:rPr>
          <w:rFonts w:hint="default" w:ascii="Times New Roman" w:hAnsi="Times New Roman" w:eastAsia="宋体" w:cs="宋体"/>
          <w:caps w:val="0"/>
          <w:sz w:val="24"/>
          <w:szCs w:val="24"/>
          <w:highlight w:val="none"/>
          <w:lang w:val="en-US" w:eastAsia="zh-CN"/>
        </w:rPr>
        <w:drawing>
          <wp:inline distT="0" distB="0" distL="114300" distR="114300">
            <wp:extent cx="4457065" cy="2510155"/>
            <wp:effectExtent l="0" t="0" r="635" b="4445"/>
            <wp:docPr id="111" name="图表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spacing w:line="360" w:lineRule="auto"/>
        <w:jc w:val="center"/>
        <w:rPr>
          <w:rFonts w:ascii="Times New Roman" w:hAnsi="Times New Roman" w:eastAsia="宋体"/>
          <w:highlight w:val="none"/>
        </w:rPr>
      </w:pPr>
      <w:r>
        <w:rPr>
          <w:rFonts w:ascii="Times New Roman" w:hAnsi="Times New Roman" w:eastAsia="宋体" w:cs="黑体"/>
          <w:b/>
          <w:color w:val="0F6FC6"/>
          <w:sz w:val="21"/>
          <w:highlight w:val="none"/>
          <w:u w:color="auto"/>
        </w:rPr>
        <w:t>图6-</w:t>
      </w:r>
      <w:r>
        <w:rPr>
          <w:rFonts w:hint="eastAsia" w:cs="黑体"/>
          <w:b/>
          <w:color w:val="0F6FC6"/>
          <w:sz w:val="21"/>
          <w:highlight w:val="none"/>
          <w:u w:color="auto"/>
          <w:lang w:val="en-US" w:eastAsia="zh-CN"/>
        </w:rPr>
        <w:t>8</w:t>
      </w:r>
      <w:r>
        <w:rPr>
          <w:rFonts w:ascii="Times New Roman" w:hAnsi="Times New Roman" w:eastAsia="宋体" w:cs="黑体"/>
          <w:b/>
          <w:color w:val="0F6FC6"/>
          <w:sz w:val="21"/>
          <w:highlight w:val="none"/>
          <w:u w:color="auto"/>
        </w:rPr>
        <w:t xml:space="preserve">  202</w:t>
      </w:r>
      <w:r>
        <w:rPr>
          <w:rFonts w:hint="eastAsia" w:ascii="Times New Roman" w:hAnsi="Times New Roman" w:eastAsia="宋体" w:cs="黑体"/>
          <w:b/>
          <w:color w:val="0F6FC6"/>
          <w:sz w:val="21"/>
          <w:highlight w:val="none"/>
          <w:u w:color="auto"/>
          <w:lang w:val="en-US" w:eastAsia="zh-CN"/>
        </w:rPr>
        <w:t>1</w:t>
      </w:r>
      <w:r>
        <w:rPr>
          <w:rFonts w:ascii="Times New Roman" w:hAnsi="Times New Roman" w:eastAsia="宋体" w:cs="黑体"/>
          <w:b/>
          <w:color w:val="0F6FC6"/>
          <w:sz w:val="21"/>
          <w:highlight w:val="none"/>
          <w:u w:color="auto"/>
        </w:rPr>
        <w:t>-202</w:t>
      </w:r>
      <w:r>
        <w:rPr>
          <w:rFonts w:hint="eastAsia" w:ascii="Times New Roman" w:hAnsi="Times New Roman" w:eastAsia="宋体" w:cs="黑体"/>
          <w:b/>
          <w:color w:val="0F6FC6"/>
          <w:sz w:val="21"/>
          <w:highlight w:val="none"/>
          <w:u w:color="auto"/>
          <w:lang w:val="en-US" w:eastAsia="zh-CN"/>
        </w:rPr>
        <w:t>3</w:t>
      </w:r>
      <w:r>
        <w:rPr>
          <w:rFonts w:ascii="Times New Roman" w:hAnsi="Times New Roman" w:eastAsia="宋体" w:cs="黑体"/>
          <w:b/>
          <w:color w:val="0F6FC6"/>
          <w:sz w:val="21"/>
          <w:highlight w:val="none"/>
          <w:u w:color="auto"/>
        </w:rPr>
        <w:t>届毕业生</w:t>
      </w:r>
      <w:r>
        <w:rPr>
          <w:rFonts w:hint="eastAsia" w:cs="黑体"/>
          <w:b/>
          <w:color w:val="0F6FC6"/>
          <w:sz w:val="21"/>
          <w:highlight w:val="none"/>
          <w:u w:color="auto"/>
          <w:lang w:val="en-US" w:eastAsia="zh-CN"/>
        </w:rPr>
        <w:t>离职率</w:t>
      </w:r>
      <w:r>
        <w:rPr>
          <w:rFonts w:ascii="Times New Roman" w:hAnsi="Times New Roman" w:eastAsia="宋体" w:cs="黑体"/>
          <w:b/>
          <w:color w:val="0F6FC6"/>
          <w:sz w:val="21"/>
          <w:highlight w:val="none"/>
          <w:u w:color="auto"/>
        </w:rPr>
        <w:t>变化趋势</w:t>
      </w:r>
    </w:p>
    <w:p>
      <w:pPr>
        <w:spacing w:after="100" w:line="240" w:lineRule="auto"/>
        <w:rPr>
          <w:rFonts w:hint="eastAsia" w:ascii="Times New Roman" w:hAnsi="Times New Roman" w:eastAsia="宋体" w:cs="Times New Roman"/>
          <w:color w:val="0F6FC6"/>
          <w:sz w:val="18"/>
          <w:u w:color="auto"/>
          <w:lang w:eastAsia="zh-CN"/>
        </w:rPr>
      </w:pPr>
      <w:r>
        <w:rPr>
          <w:rFonts w:hint="eastAsia" w:ascii="Times New Roman" w:hAnsi="Times New Roman" w:eastAsia="宋体" w:cs="Times New Roman"/>
          <w:color w:val="0F6FC6"/>
          <w:sz w:val="18"/>
          <w:u w:color="auto"/>
          <w:lang w:eastAsia="zh-CN"/>
        </w:rPr>
        <w:t>数据来源：</w:t>
      </w:r>
      <w:r>
        <w:rPr>
          <w:rFonts w:hint="eastAsia" w:ascii="Times New Roman" w:hAnsi="Times New Roman" w:eastAsia="宋体" w:cs="Times New Roman"/>
          <w:color w:val="0F6FC6"/>
          <w:sz w:val="18"/>
          <w:u w:color="auto"/>
          <w:lang w:val="en-US" w:eastAsia="zh-CN"/>
        </w:rPr>
        <w:t>1.2021届-2022届数据来自</w:t>
      </w:r>
      <w:r>
        <w:rPr>
          <w:rFonts w:hint="eastAsia" w:ascii="Times New Roman" w:hAnsi="Times New Roman" w:eastAsia="宋体" w:cs="Times New Roman"/>
          <w:color w:val="0F6FC6"/>
          <w:sz w:val="18"/>
          <w:u w:color="auto"/>
          <w:lang w:eastAsia="zh-CN"/>
        </w:rPr>
        <w:t>《</w:t>
      </w:r>
      <w:r>
        <w:rPr>
          <w:rFonts w:hint="eastAsia" w:cs="Times New Roman"/>
          <w:color w:val="0F6FC6"/>
          <w:sz w:val="18"/>
          <w:u w:color="auto"/>
          <w:lang w:val="en-US" w:eastAsia="zh-CN"/>
        </w:rPr>
        <w:t>晋中学院</w:t>
      </w:r>
      <w:r>
        <w:rPr>
          <w:rFonts w:hint="eastAsia" w:ascii="Times New Roman" w:hAnsi="Times New Roman" w:eastAsia="宋体" w:cs="Times New Roman"/>
          <w:color w:val="0F6FC6"/>
          <w:sz w:val="18"/>
          <w:u w:color="auto"/>
          <w:lang w:val="en-US" w:eastAsia="zh-CN"/>
        </w:rPr>
        <w:t>2022</w:t>
      </w:r>
      <w:r>
        <w:rPr>
          <w:rFonts w:hint="eastAsia" w:ascii="Times New Roman" w:hAnsi="Times New Roman" w:eastAsia="宋体" w:cs="Times New Roman"/>
          <w:color w:val="0F6FC6"/>
          <w:sz w:val="18"/>
          <w:u w:color="auto"/>
          <w:lang w:eastAsia="zh-CN"/>
        </w:rPr>
        <w:t>届就业质量年度报告》</w:t>
      </w:r>
    </w:p>
    <w:p>
      <w:pPr>
        <w:spacing w:after="100" w:line="240" w:lineRule="auto"/>
        <w:ind w:firstLine="900" w:firstLineChars="500"/>
        <w:rPr>
          <w:highlight w:val="none"/>
        </w:rPr>
      </w:pPr>
      <w:r>
        <w:rPr>
          <w:rFonts w:hint="eastAsia" w:ascii="Times New Roman" w:hAnsi="Times New Roman" w:eastAsia="宋体" w:cs="Times New Roman"/>
          <w:color w:val="0F6FC6"/>
          <w:sz w:val="18"/>
          <w:highlight w:val="none"/>
          <w:u w:color="auto"/>
          <w:lang w:val="en-US" w:eastAsia="zh-CN"/>
        </w:rPr>
        <w:t>2.2023届数据来自</w:t>
      </w:r>
      <w:r>
        <w:rPr>
          <w:rFonts w:hint="eastAsia" w:cs="Times New Roman"/>
          <w:color w:val="0F6FC6"/>
          <w:sz w:val="18"/>
          <w:highlight w:val="none"/>
          <w:u w:color="auto"/>
          <w:lang w:eastAsia="zh-CN"/>
        </w:rPr>
        <w:t>第三方机构叁壹科技（山西）有限公司-2023届毕业生就业与培养质量调查</w:t>
      </w:r>
      <w:r>
        <w:rPr>
          <w:rFonts w:hint="eastAsia" w:ascii="Times New Roman" w:hAnsi="Times New Roman" w:eastAsia="宋体" w:cs="Times New Roman"/>
          <w:color w:val="0F6FC6"/>
          <w:sz w:val="18"/>
          <w:highlight w:val="none"/>
          <w:u w:color="auto"/>
          <w:lang w:eastAsia="zh-CN"/>
        </w:rPr>
        <w:t>。</w:t>
      </w:r>
    </w:p>
    <w:p>
      <w:pPr>
        <w:numPr>
          <w:ilvl w:val="1"/>
          <w:numId w:val="62"/>
        </w:numPr>
        <w:shd w:val="clear" w:color="auto" w:fill="FFFFFF"/>
        <w:spacing w:before="15" w:after="15" w:line="360" w:lineRule="auto"/>
        <w:jc w:val="center"/>
        <w:outlineLvl w:val="9"/>
        <w:rPr>
          <w:rFonts w:hint="default" w:ascii="Times New Roman" w:hAnsi="Times New Roman" w:eastAsia="宋体" w:cs="宋体"/>
          <w:caps w:val="0"/>
          <w:sz w:val="24"/>
          <w:szCs w:val="24"/>
          <w:highlight w:val="none"/>
          <w:lang w:val="en-US" w:eastAsia="zh-CN"/>
        </w:rPr>
      </w:pPr>
    </w:p>
    <w:p>
      <w:pPr>
        <w:pageBreakBefore/>
        <w:numPr>
          <w:ilvl w:val="0"/>
          <w:numId w:val="63"/>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hint="default" w:ascii="Times New Roman" w:hAnsi="Times New Roman" w:cs="Times New Roman"/>
        </w:rPr>
      </w:pPr>
      <w:bookmarkStart w:id="79" w:name="_Toc17321"/>
      <w:r>
        <w:rPr>
          <w:rFonts w:hint="default" w:ascii="Times New Roman" w:hAnsi="Times New Roman" w:eastAsia="黑体" w:cs="Times New Roman"/>
          <w:b/>
          <w:color w:val="FFFFFF"/>
          <w:sz w:val="36"/>
          <w:u w:color="auto"/>
        </w:rPr>
        <w:t>PART 07  对教育教学和服务的反馈</w:t>
      </w:r>
      <w:bookmarkEnd w:id="79"/>
    </w:p>
    <w:p>
      <w:pPr>
        <w:rPr>
          <w:rFonts w:hint="default" w:ascii="Times New Roman" w:hAnsi="Times New Roman" w:cs="Times New Roman"/>
        </w:rPr>
      </w:pPr>
      <w:r>
        <w:rPr>
          <w:rFonts w:hint="default" w:ascii="Times New Roman" w:hAnsi="Times New Roman" w:cs="Times New Roman"/>
        </w:rPr>
        <w:t>
</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生是教育活动的主体，直接参与到学校教育教学计划安排的各项活动。作为高校人才培养的主要评价主体，毕业生对学校教育教学和服务的反馈建议对学校人才培养的改进和完善有重要的参考价值。调研指标包括毕业生对母校的满意度、对课程的评价、对任课老师的评价等。</w:t>
      </w:r>
    </w:p>
    <w:p>
      <w:pPr>
        <w:numPr>
          <w:ilvl w:val="1"/>
          <w:numId w:val="64"/>
        </w:numPr>
        <w:shd w:val="clear" w:color="auto" w:fill="FFFFFF"/>
        <w:spacing w:before="15" w:after="15" w:line="360" w:lineRule="auto"/>
        <w:jc w:val="left"/>
        <w:outlineLvl w:val="1"/>
        <w:rPr>
          <w:rFonts w:hint="default" w:ascii="Times New Roman" w:hAnsi="Times New Roman" w:cs="Times New Roman"/>
        </w:rPr>
      </w:pPr>
      <w:bookmarkStart w:id="80" w:name="_Toc5786"/>
      <w:r>
        <w:rPr>
          <w:rFonts w:hint="default" w:ascii="Times New Roman" w:hAnsi="Times New Roman" w:eastAsia="黑体" w:cs="Times New Roman"/>
          <w:b/>
          <w:color w:val="0F6FC6"/>
          <w:sz w:val="30"/>
          <w:u w:color="auto"/>
        </w:rPr>
        <w:t>一、对母校的总体评价</w:t>
      </w:r>
      <w:bookmarkEnd w:id="8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母校满意度指毕业生对学校整体的评价。调研该部分有利于进一步改进学校教育教学、人才培养等方面工作。将毕业生对母校的满意度评价分别为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很满意、比较满意、基本满意、比较不满意和很不满意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；满意度=</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比较满意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基本满意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占比；另外针对毕业生的反馈分别赋予1-5分（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很不满意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=5分），计算其均值。具体内容如下所示。</w:t>
      </w:r>
    </w:p>
    <w:p>
      <w:pPr>
        <w:numPr>
          <w:ilvl w:val="2"/>
          <w:numId w:val="65"/>
        </w:numPr>
        <w:shd w:val="clear" w:color="auto" w:fill="FFFFFF"/>
        <w:spacing w:before="15" w:after="15" w:line="360" w:lineRule="auto"/>
        <w:jc w:val="left"/>
        <w:outlineLvl w:val="2"/>
        <w:rPr>
          <w:rFonts w:hint="default" w:ascii="Times New Roman" w:hAnsi="Times New Roman" w:cs="Times New Roman"/>
        </w:rPr>
      </w:pPr>
      <w:bookmarkStart w:id="81" w:name="_Toc20312"/>
      <w:r>
        <w:rPr>
          <w:rFonts w:hint="default" w:ascii="Times New Roman" w:hAnsi="Times New Roman" w:eastAsia="黑体" w:cs="Times New Roman"/>
          <w:b/>
          <w:color w:val="0F6FC6"/>
          <w:sz w:val="28"/>
          <w:u w:color="auto"/>
        </w:rPr>
        <w:t>（一）母校满意度评价</w:t>
      </w:r>
      <w:bookmarkEnd w:id="8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2023届毕业生对母校的满意度为95.58%。可见毕业生对母校人才培养过程及校风学风等方面均比较认同。</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532630" cy="2231390"/>
            <wp:effectExtent l="0" t="0" r="1270" b="16510"/>
            <wp:docPr id="43"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图7-1  2023届毕业生对母校的满意度评价</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毕业生对母校满意度分布如下：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毕业生对母校满意度评价</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166"/>
        <w:gridCol w:w="1026"/>
        <w:gridCol w:w="1026"/>
        <w:gridCol w:w="1026"/>
        <w:gridCol w:w="1026"/>
        <w:gridCol w:w="1026"/>
        <w:gridCol w:w="1026"/>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20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57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很满意</w:t>
            </w:r>
          </w:p>
        </w:tc>
        <w:tc>
          <w:tcPr>
            <w:tcW w:w="57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7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7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不满意</w:t>
            </w:r>
          </w:p>
        </w:tc>
        <w:tc>
          <w:tcPr>
            <w:tcW w:w="57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70" w:type="pct"/>
            <w:shd w:val="clear" w:color="auto" w:fill="0F6FC6"/>
            <w:vAlign w:val="center"/>
          </w:tcPr>
          <w:p>
            <w:pPr>
              <w:jc w:val="center"/>
              <w:rPr>
                <w:rFonts w:hint="default" w:ascii="Times New Roman" w:hAnsi="Times New Roman" w:cs="Times New Roman"/>
              </w:rPr>
            </w:pPr>
            <w:r>
              <w:rPr>
                <w:rFonts w:hint="eastAsia" w:cs="Times New Roman"/>
                <w:b/>
                <w:color w:val="FFFFFF"/>
                <w:sz w:val="22"/>
                <w:u w:color="auto"/>
                <w:lang w:val="en-US" w:eastAsia="zh-CN"/>
              </w:rPr>
              <w:t>满意</w:t>
            </w:r>
            <w:r>
              <w:rPr>
                <w:rFonts w:hint="default" w:ascii="Times New Roman" w:hAnsi="Times New Roman" w:eastAsia="宋体" w:cs="Times New Roman"/>
                <w:b/>
                <w:color w:val="FFFFFF"/>
                <w:sz w:val="22"/>
                <w:u w:color="auto"/>
              </w:rPr>
              <w:t>度</w:t>
            </w:r>
          </w:p>
        </w:tc>
        <w:tc>
          <w:tcPr>
            <w:tcW w:w="37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68.16%</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20.67%</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w:t>
            </w:r>
          </w:p>
        </w:tc>
        <w:tc>
          <w:tcPr>
            <w:tcW w:w="570"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2.23%</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97.77%</w:t>
            </w:r>
          </w:p>
        </w:tc>
        <w:tc>
          <w:tcPr>
            <w:tcW w:w="3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66.13%</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22.58%</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8.87%</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0.81%</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1.61%</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c>
          <w:tcPr>
            <w:tcW w:w="3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71.05%</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18.42%</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w:t>
            </w:r>
          </w:p>
        </w:tc>
        <w:tc>
          <w:tcPr>
            <w:tcW w:w="570"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97.37%</w:t>
            </w:r>
          </w:p>
        </w:tc>
        <w:tc>
          <w:tcPr>
            <w:tcW w:w="3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56.91%</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28.62%</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11.58%</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1.61%</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1.29%</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97.11%</w:t>
            </w:r>
          </w:p>
        </w:tc>
        <w:tc>
          <w:tcPr>
            <w:tcW w:w="3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65.78%</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21.39%</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9.63%</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1.07%</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2.14%</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96.79%</w:t>
            </w:r>
          </w:p>
        </w:tc>
        <w:tc>
          <w:tcPr>
            <w:tcW w:w="3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60.85%</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25.47%</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10.38%</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2.83%</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0.47%</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58.44%</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25.32%</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12.66%</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3.25%</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0.32%</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c>
          <w:tcPr>
            <w:tcW w:w="3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54.26%</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24.03%</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17.83%</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1.55%</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2.33%</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96.12%</w:t>
            </w:r>
          </w:p>
        </w:tc>
        <w:tc>
          <w:tcPr>
            <w:tcW w:w="3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0"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55.15%</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25.77%</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14.95%</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2.58%</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1.55%</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95.88%</w:t>
            </w:r>
          </w:p>
        </w:tc>
        <w:tc>
          <w:tcPr>
            <w:tcW w:w="3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57.89%</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23.89%</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12.96%</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2.83%</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3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12.39%</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3.54%</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1.77%</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3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56.55%</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22.02%</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16.07%</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3.57%</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1.79%</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94.64%</w:t>
            </w:r>
          </w:p>
        </w:tc>
        <w:tc>
          <w:tcPr>
            <w:tcW w:w="3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64.82%</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11.07%</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2.37%</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3.56%</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94.07%</w:t>
            </w:r>
          </w:p>
        </w:tc>
        <w:tc>
          <w:tcPr>
            <w:tcW w:w="3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66.37%</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22.12%</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5.31%</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1.77%</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4.42%</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3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58.47%</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18.52%</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2.65%</w:t>
            </w:r>
          </w:p>
        </w:tc>
        <w:tc>
          <w:tcPr>
            <w:tcW w:w="57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93.65%</w:t>
            </w:r>
          </w:p>
        </w:tc>
        <w:tc>
          <w:tcPr>
            <w:tcW w:w="3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0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62.41%</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19.86%</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11.35%</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5.67%</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0.71%</w:t>
            </w:r>
          </w:p>
        </w:tc>
        <w:tc>
          <w:tcPr>
            <w:tcW w:w="57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93.62%</w:t>
            </w:r>
          </w:p>
        </w:tc>
        <w:tc>
          <w:tcPr>
            <w:tcW w:w="3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4.37</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各专业毕业生对母校满意度分布如下：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表7-2  2023届各专业毕业生对母校满意度评价</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526"/>
        <w:gridCol w:w="938"/>
        <w:gridCol w:w="939"/>
        <w:gridCol w:w="939"/>
        <w:gridCol w:w="939"/>
        <w:gridCol w:w="939"/>
        <w:gridCol w:w="1081"/>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40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52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很满意</w:t>
            </w:r>
          </w:p>
        </w:tc>
        <w:tc>
          <w:tcPr>
            <w:tcW w:w="52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2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2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不满意</w:t>
            </w:r>
          </w:p>
        </w:tc>
        <w:tc>
          <w:tcPr>
            <w:tcW w:w="52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600" w:type="pct"/>
            <w:shd w:val="clear" w:color="auto" w:fill="0F6FC6"/>
            <w:vAlign w:val="center"/>
          </w:tcPr>
          <w:p>
            <w:pPr>
              <w:jc w:val="center"/>
              <w:rPr>
                <w:rFonts w:hint="default" w:ascii="Times New Roman" w:hAnsi="Times New Roman" w:cs="Times New Roman"/>
              </w:rPr>
            </w:pPr>
            <w:r>
              <w:rPr>
                <w:rFonts w:hint="eastAsia" w:cs="Times New Roman"/>
                <w:b/>
                <w:color w:val="FFFFFF"/>
                <w:sz w:val="22"/>
                <w:u w:color="auto"/>
                <w:lang w:val="en-US" w:eastAsia="zh-CN"/>
              </w:rPr>
              <w:t>满意</w:t>
            </w:r>
            <w:r>
              <w:rPr>
                <w:rFonts w:hint="default" w:ascii="Times New Roman" w:hAnsi="Times New Roman" w:eastAsia="宋体" w:cs="Times New Roman"/>
                <w:b/>
                <w:color w:val="FFFFFF"/>
                <w:sz w:val="22"/>
                <w:u w:color="auto"/>
              </w:rPr>
              <w:t>度</w:t>
            </w:r>
          </w:p>
        </w:tc>
        <w:tc>
          <w:tcPr>
            <w:tcW w:w="38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59.38%</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34.38%</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p>
        </w:tc>
        <w:tc>
          <w:tcPr>
            <w:tcW w:w="521" w:type="pct"/>
            <w:vAlign w:val="center"/>
          </w:tcPr>
          <w:p>
            <w:pPr>
              <w:jc w:val="center"/>
              <w:rPr>
                <w:rFonts w:hint="eastAsia" w:ascii="Times New Roman" w:hAnsi="Times New Roman" w:eastAsia="宋体" w:cs="Times New Roman"/>
                <w:lang w:val="en-US" w:eastAsia="zh-CN"/>
              </w:rPr>
            </w:pPr>
            <w:r>
              <w:rPr>
                <w:rFonts w:hint="eastAsia" w:cs="Times New Roman"/>
                <w:color w:val="000000"/>
                <w:sz w:val="22"/>
                <w:u w:color="auto"/>
                <w:lang w:val="en-US" w:eastAsia="zh-CN"/>
              </w:rPr>
              <w:t>-</w:t>
            </w:r>
          </w:p>
        </w:tc>
        <w:tc>
          <w:tcPr>
            <w:tcW w:w="521" w:type="pct"/>
            <w:vAlign w:val="center"/>
          </w:tcPr>
          <w:p>
            <w:pPr>
              <w:jc w:val="center"/>
              <w:rPr>
                <w:rFonts w:hint="default" w:cs="Times New Roman"/>
                <w:color w:val="000000"/>
                <w:sz w:val="22"/>
                <w:u w:color="auto"/>
                <w:lang w:val="en-US" w:eastAsia="zh-CN"/>
              </w:rPr>
            </w:pPr>
            <w:r>
              <w:rPr>
                <w:rFonts w:hint="eastAsia" w:cs="Times New Roman"/>
                <w:color w:val="000000"/>
                <w:sz w:val="22"/>
                <w:u w:color="auto"/>
                <w:lang w:val="en-US" w:eastAsia="zh-CN"/>
              </w:rPr>
              <w:t>-</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69.39%</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20.41%</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2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76.06%</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19.72%</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4.23%</w:t>
            </w:r>
          </w:p>
        </w:tc>
        <w:tc>
          <w:tcPr>
            <w:tcW w:w="521"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21"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82.61%</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2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66.67%</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23.81%</w:t>
            </w:r>
          </w:p>
        </w:tc>
        <w:tc>
          <w:tcPr>
            <w:tcW w:w="521"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21"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65.71%</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21.43%</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11.43%</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1.43%</w:t>
            </w:r>
          </w:p>
        </w:tc>
        <w:tc>
          <w:tcPr>
            <w:tcW w:w="52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67.8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16.95%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13.56%</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1.69%</w:t>
            </w:r>
          </w:p>
        </w:tc>
        <w:tc>
          <w:tcPr>
            <w:tcW w:w="521"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23.94%</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7.04%</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2.11%</w:t>
            </w:r>
          </w:p>
        </w:tc>
        <w:tc>
          <w:tcPr>
            <w:tcW w:w="52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55.75%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31.03%</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10.92%</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1.15%</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57.65%</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29.41%</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10.59%</w:t>
            </w:r>
          </w:p>
        </w:tc>
        <w:tc>
          <w:tcPr>
            <w:tcW w:w="521"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2.35%</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65.85%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22.76%</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0.81%</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1.63%</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highlight w:val="none"/>
              </w:rPr>
            </w:pPr>
            <w:r>
              <w:rPr>
                <w:rFonts w:hint="eastAsia" w:cs="Times New Roman"/>
                <w:color w:val="000000"/>
                <w:sz w:val="22"/>
                <w:highlight w:val="none"/>
                <w:u w:color="auto"/>
                <w:lang w:val="en-US" w:eastAsia="zh-CN"/>
              </w:rPr>
              <w:t>-</w:t>
            </w:r>
          </w:p>
        </w:tc>
        <w:tc>
          <w:tcPr>
            <w:tcW w:w="600" w:type="pct"/>
            <w:shd w:val="clear" w:color="auto" w:fill="C7E2FA"/>
            <w:vAlign w:val="center"/>
          </w:tcPr>
          <w:p>
            <w:pPr>
              <w:jc w:val="center"/>
              <w:rPr>
                <w:rFonts w:hint="default" w:ascii="Times New Roman" w:hAnsi="Times New Roman" w:cs="Times New Roman"/>
                <w:highlight w:val="none"/>
              </w:rPr>
            </w:pPr>
            <w:r>
              <w:rPr>
                <w:rFonts w:hint="default" w:ascii="Times New Roman" w:hAnsi="Times New Roman" w:eastAsia="宋体" w:cs="Times New Roman"/>
                <w:color w:val="000000"/>
                <w:sz w:val="22"/>
                <w:highlight w:val="none"/>
                <w:u w:color="auto"/>
              </w:rPr>
              <w:t>97.5</w:t>
            </w:r>
            <w:r>
              <w:rPr>
                <w:rFonts w:hint="eastAsia" w:cs="Times New Roman"/>
                <w:color w:val="000000"/>
                <w:sz w:val="22"/>
                <w:highlight w:val="none"/>
                <w:u w:color="auto"/>
                <w:lang w:val="en-US" w:eastAsia="zh-CN"/>
              </w:rPr>
              <w:t>0</w:t>
            </w:r>
            <w:r>
              <w:rPr>
                <w:rFonts w:hint="default" w:ascii="Times New Roman" w:hAnsi="Times New Roman" w:eastAsia="宋体" w:cs="Times New Roman"/>
                <w:color w:val="000000"/>
                <w:sz w:val="22"/>
                <w:highlight w:val="none"/>
                <w:u w:color="auto"/>
              </w:rPr>
              <w:t>%</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71.05%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18.42%</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7.89%</w:t>
            </w:r>
          </w:p>
        </w:tc>
        <w:tc>
          <w:tcPr>
            <w:tcW w:w="521"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97.37%</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65.98%</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22.68%</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8.25%</w:t>
            </w:r>
          </w:p>
        </w:tc>
        <w:tc>
          <w:tcPr>
            <w:tcW w:w="52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3.09%</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51.61%</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35.48%</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3.23%</w:t>
            </w:r>
          </w:p>
        </w:tc>
        <w:tc>
          <w:tcPr>
            <w:tcW w:w="521"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73.86%</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10.23%</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2.27%</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1.14%</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61.11%</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23.89%</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11.11%</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0.56%</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96.11%</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54.05%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27.03%</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14.86%</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95.95%</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59.18%</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26.53%</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2.04%</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2.04%</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66.67%</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65.28%</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19.44%</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11.11%</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c>
          <w:tcPr>
            <w:tcW w:w="521"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54.93%</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28.17%</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12.68%</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2.82%</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1.41%</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95.77%</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21.35%</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16.85%</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95.51%</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57.65%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24.71%</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12.94%</w:t>
            </w:r>
          </w:p>
        </w:tc>
        <w:tc>
          <w:tcPr>
            <w:tcW w:w="521"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4.71%</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70.73%</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19.51%</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4.88%</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2.44%</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2.44%</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56.14%</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17.54%</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3.51%</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55.79%</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24.21%</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14.74%</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2.11%</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3.16%</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61.08%</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21.56%</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11.98%</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2.99%</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94.61%</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70.83%</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8.33%</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15.28%</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1.39%</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55.56%</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27.78%</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11.11%</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21" w:type="pct"/>
            <w:vAlign w:val="center"/>
          </w:tcPr>
          <w:p>
            <w:pPr>
              <w:jc w:val="center"/>
              <w:rPr>
                <w:rFonts w:hint="eastAsia" w:ascii="Times New Roman" w:hAnsi="Times New Roman" w:eastAsia="宋体" w:cs="Times New Roman"/>
                <w:lang w:val="en-US" w:eastAsia="zh-CN"/>
              </w:rPr>
            </w:pPr>
            <w:r>
              <w:rPr>
                <w:rFonts w:hint="eastAsia" w:cs="Times New Roman"/>
                <w:color w:val="000000"/>
                <w:sz w:val="22"/>
                <w:u w:color="auto"/>
                <w:lang w:val="en-US" w:eastAsia="zh-CN"/>
              </w:rPr>
              <w:t>-</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56.94%</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19.44%</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18.06%</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21"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59.62%</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19.23%</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15.38%</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5.77%</w:t>
            </w:r>
          </w:p>
        </w:tc>
        <w:tc>
          <w:tcPr>
            <w:tcW w:w="521"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26.25%</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68.42%</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4.21%</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38.71%</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32.26%</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22.58%</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3.23%</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3.23%</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61.29%</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25.81%</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6.45%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3.23%</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3.23%</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60.75%</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18.69%</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14.02%</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3.74%</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93.46%</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43.24%</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29.73%</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20.27%</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6.76%</w:t>
            </w:r>
          </w:p>
        </w:tc>
        <w:tc>
          <w:tcPr>
            <w:tcW w:w="521"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93.24%</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52.38%</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28.57%</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4.76%</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57.14%</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10.71%</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3.57%</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3.57%</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64.06%</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17.19%</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10.94%</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1.56%</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92.19%</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61.62%</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19.19%</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11.11%</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3.03%</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5.05%</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91.92%</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40.38%</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21.15%</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26.92%</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7.69%</w:t>
            </w:r>
          </w:p>
        </w:tc>
        <w:tc>
          <w:tcPr>
            <w:tcW w:w="52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3.85%</w:t>
            </w:r>
          </w:p>
        </w:tc>
        <w:tc>
          <w:tcPr>
            <w:tcW w:w="6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88.46%</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0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58.62%</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20.69%</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3.45%</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13.79%</w:t>
            </w:r>
          </w:p>
        </w:tc>
        <w:tc>
          <w:tcPr>
            <w:tcW w:w="52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3.45%</w:t>
            </w:r>
          </w:p>
        </w:tc>
        <w:tc>
          <w:tcPr>
            <w:tcW w:w="6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82.76%</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66"/>
        </w:numPr>
        <w:shd w:val="clear" w:color="auto" w:fill="FFFFFF"/>
        <w:spacing w:before="15" w:after="15" w:line="360" w:lineRule="auto"/>
        <w:jc w:val="left"/>
        <w:outlineLvl w:val="2"/>
        <w:rPr>
          <w:rFonts w:hint="default" w:ascii="Times New Roman" w:hAnsi="Times New Roman" w:cs="Times New Roman"/>
        </w:rPr>
      </w:pPr>
      <w:bookmarkStart w:id="82" w:name="_Toc5914"/>
      <w:r>
        <w:rPr>
          <w:rFonts w:hint="default" w:ascii="Times New Roman" w:hAnsi="Times New Roman" w:eastAsia="黑体" w:cs="Times New Roman"/>
          <w:b/>
          <w:color w:val="0F6FC6"/>
          <w:sz w:val="28"/>
          <w:u w:color="auto"/>
        </w:rPr>
        <w:t>（二）母校推荐度</w:t>
      </w:r>
      <w:bookmarkEnd w:id="8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母校推荐度是指在同等分数同类型学校条件下，毕业生是否愿意推荐母校给亲戚朋友去就读。推荐度计算公式的分子是回答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很愿意、比较愿意、基本愿意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的人数，分母是回答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很愿意、比较愿意、基本愿意、比较不愿意、很不愿意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的总人数。</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2023届毕业生整体上对母校的推荐度较高，95.22%的毕业生愿意向他人推荐自己的母校；仅有4.77</w:t>
      </w:r>
      <w:r>
        <w:rPr>
          <w:rFonts w:hint="eastAsia" w:cs="Times New Roman"/>
          <w:b w:val="0"/>
          <w:color w:val="000000"/>
          <w:sz w:val="24"/>
          <w:u w:color="auto"/>
          <w:lang w:val="en-US" w:eastAsia="zh-CN"/>
        </w:rPr>
        <w:t>%</w:t>
      </w:r>
      <w:r>
        <w:rPr>
          <w:rFonts w:hint="default" w:ascii="Times New Roman" w:hAnsi="Times New Roman" w:eastAsia="宋体" w:cs="Times New Roman"/>
          <w:b w:val="0"/>
          <w:color w:val="000000"/>
          <w:sz w:val="24"/>
          <w:u w:color="auto"/>
        </w:rPr>
        <w:t>的毕业生不愿意向他人推荐母校。</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26890" cy="2306320"/>
            <wp:effectExtent l="0" t="0" r="16510" b="17780"/>
            <wp:docPr id="44"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图7-2  2023届毕业生对母校的推荐度评价</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毕业生对母校推荐度分布如下：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表7-3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毕业生对母校推荐度评价</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2500" w:type="pct"/>
            <w:shd w:val="clear" w:color="auto" w:fill="0F6FC6"/>
            <w:vAlign w:val="center"/>
          </w:tcPr>
          <w:p>
            <w:pPr>
              <w:jc w:val="center"/>
              <w:rPr>
                <w:rFonts w:hint="default" w:ascii="Times New Roman" w:hAnsi="Times New Roman" w:cs="Times New Roman"/>
              </w:rPr>
            </w:pPr>
            <w:r>
              <w:rPr>
                <w:rFonts w:hint="eastAsia" w:cs="Times New Roman"/>
                <w:b/>
                <w:color w:val="FFFFFF"/>
                <w:sz w:val="22"/>
                <w:highlight w:val="none"/>
                <w:u w:color="auto"/>
                <w:lang w:val="en-US" w:eastAsia="zh-CN"/>
              </w:rPr>
              <w:t>母校</w:t>
            </w:r>
            <w:r>
              <w:rPr>
                <w:rFonts w:hint="default" w:ascii="Times New Roman" w:hAnsi="Times New Roman" w:eastAsia="宋体" w:cs="Times New Roman"/>
                <w:b/>
                <w:color w:val="FFFFFF"/>
                <w:sz w:val="22"/>
                <w:highlight w:val="none"/>
                <w:u w:color="auto"/>
              </w:rPr>
              <w:t>推荐度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93.62%</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各专业毕业生对母校推荐度分布如下：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表7-4  2023届各专业毕业生对母校推荐度评价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2500" w:type="pct"/>
            <w:shd w:val="clear" w:color="auto" w:fill="0F6FC6"/>
            <w:vAlign w:val="center"/>
          </w:tcPr>
          <w:p>
            <w:pPr>
              <w:jc w:val="center"/>
              <w:rPr>
                <w:rFonts w:hint="default" w:ascii="Times New Roman" w:hAnsi="Times New Roman" w:cs="Times New Roman"/>
              </w:rPr>
            </w:pPr>
            <w:r>
              <w:rPr>
                <w:rFonts w:hint="eastAsia" w:cs="Times New Roman"/>
                <w:b/>
                <w:color w:val="FFFFFF"/>
                <w:sz w:val="22"/>
                <w:highlight w:val="none"/>
                <w:u w:color="auto"/>
                <w:lang w:val="en-US" w:eastAsia="zh-CN"/>
              </w:rPr>
              <w:t>母校</w:t>
            </w:r>
            <w:r>
              <w:rPr>
                <w:rFonts w:hint="default" w:ascii="Times New Roman" w:hAnsi="Times New Roman" w:eastAsia="宋体" w:cs="Times New Roman"/>
                <w:b/>
                <w:color w:val="FFFFFF"/>
                <w:sz w:val="22"/>
                <w:highlight w:val="none"/>
                <w:u w:color="auto"/>
              </w:rPr>
              <w:t>推荐度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82.76%</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67"/>
        </w:numPr>
        <w:shd w:val="clear" w:color="auto" w:fill="FFFFFF"/>
        <w:spacing w:before="15" w:after="15" w:line="360" w:lineRule="auto"/>
        <w:jc w:val="left"/>
        <w:outlineLvl w:val="1"/>
        <w:rPr>
          <w:rFonts w:hint="default" w:ascii="Times New Roman" w:hAnsi="Times New Roman" w:cs="Times New Roman"/>
        </w:rPr>
      </w:pPr>
      <w:bookmarkStart w:id="83" w:name="_Toc5589"/>
      <w:r>
        <w:rPr>
          <w:rFonts w:hint="default" w:ascii="Times New Roman" w:hAnsi="Times New Roman" w:eastAsia="黑体" w:cs="Times New Roman"/>
          <w:b/>
          <w:color w:val="0F6FC6"/>
          <w:sz w:val="30"/>
          <w:u w:color="auto"/>
        </w:rPr>
        <w:t>二、对本专业的总体评价</w:t>
      </w:r>
      <w:bookmarkEnd w:id="83"/>
    </w:p>
    <w:p>
      <w:pPr>
        <w:numPr>
          <w:ilvl w:val="2"/>
          <w:numId w:val="68"/>
        </w:numPr>
        <w:shd w:val="clear" w:color="auto" w:fill="FFFFFF"/>
        <w:spacing w:before="15" w:after="15" w:line="360" w:lineRule="auto"/>
        <w:jc w:val="left"/>
        <w:outlineLvl w:val="2"/>
        <w:rPr>
          <w:rFonts w:hint="default" w:ascii="Times New Roman" w:hAnsi="Times New Roman" w:cs="Times New Roman"/>
        </w:rPr>
      </w:pPr>
      <w:bookmarkStart w:id="84" w:name="_Toc21456"/>
      <w:r>
        <w:rPr>
          <w:rFonts w:hint="default" w:ascii="Times New Roman" w:hAnsi="Times New Roman" w:eastAsia="黑体" w:cs="Times New Roman"/>
          <w:b/>
          <w:color w:val="0F6FC6"/>
          <w:sz w:val="28"/>
          <w:u w:color="auto"/>
        </w:rPr>
        <w:t>（一）对本专业满意度</w:t>
      </w:r>
      <w:bookmarkEnd w:id="8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2023届毕业生对本专业的满意度为94.62%。</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502785" cy="2364105"/>
            <wp:effectExtent l="0" t="0" r="12065" b="17145"/>
            <wp:docPr id="45"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图7-3  2023届毕业生对本专业的满意度评价</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毕业生对本专业满意度分布如下：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表7-5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毕业生对本专业满意度评价</w:t>
      </w:r>
    </w:p>
    <w:tbl>
      <w:tblPr>
        <w:tblStyle w:val="1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232"/>
        <w:gridCol w:w="997"/>
        <w:gridCol w:w="997"/>
        <w:gridCol w:w="998"/>
        <w:gridCol w:w="998"/>
        <w:gridCol w:w="998"/>
        <w:gridCol w:w="1079"/>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24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55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很满意</w:t>
            </w:r>
          </w:p>
        </w:tc>
        <w:tc>
          <w:tcPr>
            <w:tcW w:w="554"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54"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54"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不满意</w:t>
            </w:r>
          </w:p>
        </w:tc>
        <w:tc>
          <w:tcPr>
            <w:tcW w:w="554"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99" w:type="pct"/>
            <w:shd w:val="clear" w:color="auto" w:fill="0F6FC6"/>
            <w:vAlign w:val="center"/>
          </w:tcPr>
          <w:p>
            <w:pPr>
              <w:jc w:val="center"/>
              <w:rPr>
                <w:rFonts w:hint="default" w:ascii="Times New Roman" w:hAnsi="Times New Roman" w:cs="Times New Roman"/>
              </w:rPr>
            </w:pPr>
            <w:r>
              <w:rPr>
                <w:rFonts w:hint="eastAsia" w:cs="Times New Roman"/>
                <w:b/>
                <w:color w:val="FFFFFF"/>
                <w:sz w:val="22"/>
                <w:u w:color="auto"/>
                <w:lang w:val="en-US" w:eastAsia="zh-CN"/>
              </w:rPr>
              <w:t>满意</w:t>
            </w:r>
            <w:r>
              <w:rPr>
                <w:rFonts w:hint="default" w:ascii="Times New Roman" w:hAnsi="Times New Roman" w:eastAsia="宋体" w:cs="Times New Roman"/>
                <w:b/>
                <w:color w:val="FFFFFF"/>
                <w:sz w:val="22"/>
                <w:u w:color="auto"/>
              </w:rPr>
              <w:t>度</w:t>
            </w:r>
          </w:p>
        </w:tc>
        <w:tc>
          <w:tcPr>
            <w:tcW w:w="38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66.94%</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21.77%</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8.87%</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0.81%</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1.61%</w:t>
            </w:r>
          </w:p>
        </w:tc>
        <w:tc>
          <w:tcPr>
            <w:tcW w:w="5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63.16%</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13.16%</w:t>
            </w:r>
          </w:p>
        </w:tc>
        <w:tc>
          <w:tcPr>
            <w:tcW w:w="554"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w:t>
            </w:r>
          </w:p>
        </w:tc>
        <w:tc>
          <w:tcPr>
            <w:tcW w:w="5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97.37%</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51.55%</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28.35%</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17.01%</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1.55%</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1.55%</w:t>
            </w:r>
          </w:p>
        </w:tc>
        <w:tc>
          <w:tcPr>
            <w:tcW w:w="5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19.79%</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14.97%</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2.14%</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96.26%</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54.34%</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28.94%</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12.86%</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2.57%</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1.29%</w:t>
            </w:r>
          </w:p>
        </w:tc>
        <w:tc>
          <w:tcPr>
            <w:tcW w:w="5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96.14%</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65.92%</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20.11%</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10.06%</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1.12%</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2.79%</w:t>
            </w:r>
          </w:p>
        </w:tc>
        <w:tc>
          <w:tcPr>
            <w:tcW w:w="5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96.09%</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54"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56.49%</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27.27%</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12.01%</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0.32%</w:t>
            </w:r>
          </w:p>
        </w:tc>
        <w:tc>
          <w:tcPr>
            <w:tcW w:w="5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95.78%</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57.55%</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20.75%</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17.45%</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3.77%</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0.47%</w:t>
            </w:r>
          </w:p>
        </w:tc>
        <w:tc>
          <w:tcPr>
            <w:tcW w:w="5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95.75%</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56.68%</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21.46%</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2.83%</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w:t>
            </w:r>
          </w:p>
        </w:tc>
        <w:tc>
          <w:tcPr>
            <w:tcW w:w="5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63.64%</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18.97%</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11.46%</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3.56%</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2.37%</w:t>
            </w:r>
          </w:p>
        </w:tc>
        <w:tc>
          <w:tcPr>
            <w:tcW w:w="5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94.07%</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55.36%</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23.81%</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14.88%</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1.79%</w:t>
            </w:r>
          </w:p>
        </w:tc>
        <w:tc>
          <w:tcPr>
            <w:tcW w:w="5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94.05%</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67.26%</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21.24%</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5.31%</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0.88%</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5.31%</w:t>
            </w:r>
          </w:p>
        </w:tc>
        <w:tc>
          <w:tcPr>
            <w:tcW w:w="5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68.14%</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13.27%</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4.42%</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2.65%</w:t>
            </w:r>
          </w:p>
        </w:tc>
        <w:tc>
          <w:tcPr>
            <w:tcW w:w="5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92.92%</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47.29%</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25.58%</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19.38%</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3.88%</w:t>
            </w:r>
          </w:p>
        </w:tc>
        <w:tc>
          <w:tcPr>
            <w:tcW w:w="5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92.25%</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55.82%</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18.25%</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17.99%</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5.03%</w:t>
            </w:r>
          </w:p>
        </w:tc>
        <w:tc>
          <w:tcPr>
            <w:tcW w:w="55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2.91%</w:t>
            </w:r>
          </w:p>
        </w:tc>
        <w:tc>
          <w:tcPr>
            <w:tcW w:w="5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92.06%</w:t>
            </w:r>
          </w:p>
        </w:tc>
        <w:tc>
          <w:tcPr>
            <w:tcW w:w="38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4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48.23%</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19.86%</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20.57%</w:t>
            </w:r>
          </w:p>
        </w:tc>
        <w:tc>
          <w:tcPr>
            <w:tcW w:w="554" w:type="pct"/>
            <w:vAlign w:val="center"/>
          </w:tcPr>
          <w:p>
            <w:pPr>
              <w:jc w:val="center"/>
              <w:rPr>
                <w:rFonts w:hint="eastAsia" w:ascii="Times New Roman" w:hAnsi="Times New Roman" w:eastAsia="宋体" w:cs="Times New Roman"/>
                <w:lang w:val="en-US" w:eastAsia="zh-CN"/>
              </w:rPr>
            </w:pPr>
            <w:r>
              <w:rPr>
                <w:rFonts w:hint="default" w:ascii="Times New Roman" w:hAnsi="Times New Roman" w:eastAsia="宋体" w:cs="Times New Roman"/>
                <w:color w:val="000000"/>
                <w:sz w:val="22"/>
                <w:u w:color="auto"/>
              </w:rPr>
              <w:t>7.8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5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3.55%</w:t>
            </w:r>
          </w:p>
        </w:tc>
        <w:tc>
          <w:tcPr>
            <w:tcW w:w="5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88.65%</w:t>
            </w:r>
          </w:p>
        </w:tc>
        <w:tc>
          <w:tcPr>
            <w:tcW w:w="38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4.02</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各专业毕业生对本专业满意度分布如下：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表7-6  2023届各专业毕业生对本专业满意度评价</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353"/>
        <w:gridCol w:w="976"/>
        <w:gridCol w:w="976"/>
        <w:gridCol w:w="976"/>
        <w:gridCol w:w="976"/>
        <w:gridCol w:w="976"/>
        <w:gridCol w:w="1051"/>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30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542"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很满意</w:t>
            </w:r>
          </w:p>
        </w:tc>
        <w:tc>
          <w:tcPr>
            <w:tcW w:w="542"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42"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基本</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42"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比较</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不满意</w:t>
            </w:r>
          </w:p>
        </w:tc>
        <w:tc>
          <w:tcPr>
            <w:tcW w:w="542"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很不</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w:t>
            </w:r>
          </w:p>
        </w:tc>
        <w:tc>
          <w:tcPr>
            <w:tcW w:w="584" w:type="pct"/>
            <w:shd w:val="clear" w:color="auto" w:fill="0F6FC6"/>
            <w:vAlign w:val="center"/>
          </w:tcPr>
          <w:p>
            <w:pPr>
              <w:jc w:val="center"/>
              <w:rPr>
                <w:rFonts w:hint="default" w:ascii="Times New Roman" w:hAnsi="Times New Roman" w:cs="Times New Roman"/>
              </w:rPr>
            </w:pPr>
            <w:r>
              <w:rPr>
                <w:rFonts w:hint="eastAsia" w:cs="Times New Roman"/>
                <w:b/>
                <w:color w:val="FFFFFF"/>
                <w:sz w:val="22"/>
                <w:u w:color="auto"/>
                <w:lang w:val="en-US" w:eastAsia="zh-CN"/>
              </w:rPr>
              <w:t>满意</w:t>
            </w:r>
            <w:r>
              <w:rPr>
                <w:rFonts w:hint="default" w:ascii="Times New Roman" w:hAnsi="Times New Roman" w:eastAsia="宋体" w:cs="Times New Roman"/>
                <w:b/>
                <w:color w:val="FFFFFF"/>
                <w:sz w:val="22"/>
                <w:u w:color="auto"/>
              </w:rPr>
              <w:t>度</w:t>
            </w:r>
          </w:p>
        </w:tc>
        <w:tc>
          <w:tcPr>
            <w:tcW w:w="39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73.24%</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19.72%</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7.04%</w:t>
            </w:r>
          </w:p>
        </w:tc>
        <w:tc>
          <w:tcPr>
            <w:tcW w:w="542"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42" w:type="pct"/>
            <w:vAlign w:val="center"/>
          </w:tcPr>
          <w:p>
            <w:pPr>
              <w:jc w:val="center"/>
              <w:rPr>
                <w:rFonts w:hint="default" w:cs="Times New Roman"/>
                <w:color w:val="000000"/>
                <w:sz w:val="22"/>
                <w:u w:color="auto"/>
                <w:lang w:val="en-US" w:eastAsia="zh-CN"/>
              </w:rPr>
            </w:pPr>
            <w:r>
              <w:rPr>
                <w:rFonts w:hint="eastAsia" w:cs="Times New Roman"/>
                <w:color w:val="000000"/>
                <w:sz w:val="22"/>
                <w:u w:color="auto"/>
                <w:lang w:val="en-US" w:eastAsia="zh-CN"/>
              </w:rPr>
              <w:t>-</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67.61%</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22.54%</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8.45%</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1.41%</w:t>
            </w:r>
          </w:p>
        </w:tc>
        <w:tc>
          <w:tcPr>
            <w:tcW w:w="542"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57.63%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16.95%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23.73%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1.69%</w:t>
            </w:r>
          </w:p>
        </w:tc>
        <w:tc>
          <w:tcPr>
            <w:tcW w:w="542"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54.6</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30.46%</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12.64%</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1.72%</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0.57%</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67.48%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21.14%</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0.81%</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1.63%</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63.16%</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21.05%</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13.16%</w:t>
            </w:r>
          </w:p>
        </w:tc>
        <w:tc>
          <w:tcPr>
            <w:tcW w:w="542"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2.63%</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97.37%</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31.08%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16.22%</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1.35%</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65.98%</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20.62%</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10.31%</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1.03%</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2.06%</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56.25%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15.63%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3.13%</w:t>
            </w:r>
          </w:p>
        </w:tc>
        <w:tc>
          <w:tcPr>
            <w:tcW w:w="542"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96.88%</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45.16%</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38.71%</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3.23%</w:t>
            </w:r>
          </w:p>
        </w:tc>
        <w:tc>
          <w:tcPr>
            <w:tcW w:w="542"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55.06%</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22.47%</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1.12%</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96.63%</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71.59%</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14.77%</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10.23%</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3.41%</w:t>
            </w:r>
          </w:p>
        </w:tc>
        <w:tc>
          <w:tcPr>
            <w:tcW w:w="542"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54.12%</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29.41%</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12.94%</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2.35%</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0%</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57.14%</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24.49%</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14.29%</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4.08%</w:t>
            </w:r>
          </w:p>
        </w:tc>
        <w:tc>
          <w:tcPr>
            <w:tcW w:w="542" w:type="pct"/>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20.83%</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c>
          <w:tcPr>
            <w:tcW w:w="542" w:type="pct"/>
            <w:shd w:val="clear" w:color="auto" w:fill="C7E2FA"/>
            <w:vAlign w:val="center"/>
          </w:tcPr>
          <w:p>
            <w:pPr>
              <w:jc w:val="center"/>
              <w:rPr>
                <w:rFonts w:hint="eastAsia" w:ascii="Times New Roman" w:hAnsi="Times New Roman" w:eastAsia="宋体" w:cs="Times New Roman"/>
                <w:lang w:val="en-US" w:eastAsia="zh-CN"/>
              </w:rPr>
            </w:pPr>
            <w:r>
              <w:rPr>
                <w:rFonts w:hint="eastAsia" w:cs="Times New Roman"/>
                <w:lang w:val="en-US" w:eastAsia="zh-CN"/>
              </w:rPr>
              <w:t>-</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61.43%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21.43%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12.86%</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2.86%</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95.71%</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57.78%</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17.78%</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3.89%</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0.56%</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95.56%</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19.05%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14.29%</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4.76%</w:t>
            </w:r>
          </w:p>
        </w:tc>
        <w:tc>
          <w:tcPr>
            <w:tcW w:w="542"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61.08%</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20.36%</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13.77%</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95.21%</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52.63%</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14.04%</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28.07%</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3.51%</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1.75%</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55.56%</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33.33%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42" w:type="pct"/>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54.17%</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19.44%</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20.83%</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5.56%</w:t>
            </w:r>
          </w:p>
        </w:tc>
        <w:tc>
          <w:tcPr>
            <w:tcW w:w="542"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47.89%</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30.99%</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15.49%</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1.41%</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94.37%</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57.65%</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21.18%</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15.29%</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1.18%</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4.71%</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94.12%</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22.45%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16.33%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2.04%</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93.88%</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55.79%</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27.37%</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10.53%</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3.16%</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3.16%</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69.47%</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18.95%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5.26%</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35.48%</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25.81%</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32.26%</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3.23%</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3.23%</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70.83%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6.94%</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15.28%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2.78%</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61.62%</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18.18%</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13.13%</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4.04%</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3.03%</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92.93%</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63.41%</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24.39%</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4.88%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2.44%</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92.68%</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41.89%</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35.14%</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14.86%</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8.11%</w:t>
            </w:r>
          </w:p>
        </w:tc>
        <w:tc>
          <w:tcPr>
            <w:tcW w:w="542"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91.89%</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57.01%</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13.08%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6.54%</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1.87%</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91.59%</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73.91%</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17.39%</w:t>
            </w:r>
          </w:p>
        </w:tc>
        <w:tc>
          <w:tcPr>
            <w:tcW w:w="542" w:type="pct"/>
            <w:shd w:val="clear" w:color="auto" w:fill="C7E2FA"/>
            <w:vAlign w:val="center"/>
          </w:tcPr>
          <w:p>
            <w:pPr>
              <w:jc w:val="center"/>
              <w:rPr>
                <w:rFonts w:hint="eastAsia" w:ascii="Times New Roman" w:hAnsi="Times New Roman" w:eastAsia="宋体" w:cs="Times New Roman"/>
                <w:lang w:eastAsia="zh-CN"/>
              </w:rPr>
            </w:pPr>
            <w:r>
              <w:rPr>
                <w:rFonts w:hint="eastAsia" w:cs="Times New Roman"/>
                <w:color w:val="000000"/>
                <w:sz w:val="22"/>
                <w:u w:color="auto"/>
                <w:lang w:val="en-US" w:eastAsia="zh-CN"/>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4.35%</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52.38%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28.57%</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7.14%</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53.85%</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23.08%</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13.46%</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7.69%</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1.92%</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44.23%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17.31%</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28.85%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3.85%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5.77%</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54.84%</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22.58%</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6.45%</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3.23%</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90.32%</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41.25%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26.25%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3.75%</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6.25%</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53.57%</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10.71%</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3.57%</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7.14%</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60.94%</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17.19%</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10.94%</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1.56%</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89.06%</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51.72%</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17.24%</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17.24%</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3.45%</w:t>
            </w:r>
          </w:p>
        </w:tc>
        <w:tc>
          <w:tcPr>
            <w:tcW w:w="54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10.34%</w:t>
            </w:r>
          </w:p>
        </w:tc>
        <w:tc>
          <w:tcPr>
            <w:tcW w:w="5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86.21%</w:t>
            </w:r>
          </w:p>
        </w:tc>
        <w:tc>
          <w:tcPr>
            <w:tcW w:w="39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0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45.83%</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16.67%</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23.61%</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54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1.39%</w:t>
            </w:r>
          </w:p>
        </w:tc>
        <w:tc>
          <w:tcPr>
            <w:tcW w:w="5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86.11%</w:t>
            </w:r>
          </w:p>
        </w:tc>
        <w:tc>
          <w:tcPr>
            <w:tcW w:w="39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3.93</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69"/>
        </w:numPr>
        <w:shd w:val="clear" w:color="auto" w:fill="FFFFFF"/>
        <w:spacing w:before="15" w:after="15" w:line="360" w:lineRule="auto"/>
        <w:jc w:val="left"/>
        <w:outlineLvl w:val="2"/>
        <w:rPr>
          <w:rFonts w:hint="default" w:ascii="Times New Roman" w:hAnsi="Times New Roman" w:cs="Times New Roman"/>
        </w:rPr>
      </w:pPr>
      <w:bookmarkStart w:id="85" w:name="_Toc30411"/>
      <w:r>
        <w:rPr>
          <w:rFonts w:hint="default" w:ascii="Times New Roman" w:hAnsi="Times New Roman" w:eastAsia="黑体" w:cs="Times New Roman"/>
          <w:b/>
          <w:color w:val="0F6FC6"/>
          <w:sz w:val="28"/>
          <w:u w:color="auto"/>
        </w:rPr>
        <w:t>（二）对本专业推荐度</w:t>
      </w:r>
      <w:bookmarkEnd w:id="8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2023届毕业生对本专业的推荐度为93.53%。</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539615" cy="2370455"/>
            <wp:effectExtent l="0" t="0" r="13335" b="10795"/>
            <wp:docPr id="46"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图7-4  2023届毕业生对本专业的推荐度评价</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毕业生对本专业推荐度分布如下：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表7-7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毕业生对本专业推荐度评价</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2500" w:type="pct"/>
            <w:shd w:val="clear" w:color="auto" w:fill="0F6FC6"/>
            <w:vAlign w:val="center"/>
          </w:tcPr>
          <w:p>
            <w:pPr>
              <w:jc w:val="center"/>
              <w:rPr>
                <w:rFonts w:hint="default" w:ascii="Times New Roman" w:hAnsi="Times New Roman" w:cs="Times New Roman"/>
              </w:rPr>
            </w:pPr>
            <w:r>
              <w:rPr>
                <w:rFonts w:hint="eastAsia" w:cs="Times New Roman"/>
                <w:b/>
                <w:color w:val="FFFFFF"/>
                <w:sz w:val="22"/>
                <w:u w:color="auto"/>
                <w:lang w:val="en-US" w:eastAsia="zh-CN"/>
              </w:rPr>
              <w:t>本专业</w:t>
            </w:r>
            <w:r>
              <w:rPr>
                <w:rFonts w:hint="default" w:ascii="Times New Roman" w:hAnsi="Times New Roman" w:eastAsia="宋体" w:cs="Times New Roman"/>
                <w:b/>
                <w:color w:val="FFFFFF"/>
                <w:sz w:val="22"/>
                <w:u w:color="auto"/>
              </w:rPr>
              <w:t>推荐度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87.6</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82.98%</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各专业毕业生对本专业推荐度分布如下：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表7-8  2023届各专业毕业生对本专业推荐度评价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本专业推荐度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77.42%</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70"/>
        </w:numPr>
        <w:shd w:val="clear" w:color="auto" w:fill="FFFFFF"/>
        <w:spacing w:before="15" w:after="15" w:line="360" w:lineRule="auto"/>
        <w:jc w:val="left"/>
        <w:outlineLvl w:val="1"/>
        <w:rPr>
          <w:rFonts w:hint="default" w:ascii="Times New Roman" w:hAnsi="Times New Roman" w:cs="Times New Roman"/>
        </w:rPr>
      </w:pPr>
      <w:bookmarkStart w:id="86" w:name="_Toc5320"/>
      <w:r>
        <w:rPr>
          <w:rFonts w:hint="default" w:ascii="Times New Roman" w:hAnsi="Times New Roman" w:eastAsia="黑体" w:cs="Times New Roman"/>
          <w:b/>
          <w:color w:val="0F6FC6"/>
          <w:sz w:val="30"/>
          <w:u w:color="auto"/>
        </w:rPr>
        <w:t>三、对课程评价</w:t>
      </w:r>
      <w:bookmarkEnd w:id="86"/>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课程包括专业课和公共课，调查了解学生对于所学课程的掌握情况，以及课程对于他们工作的帮助情况有助于学校更有针对性的改革教育教学。具体内容如下所示。</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2023届毕业生对所学课程的总体满意度为94.17%，整体满意度较高。</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19905" cy="2312035"/>
            <wp:effectExtent l="0" t="0" r="4445" b="12065"/>
            <wp:docPr id="47"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图7-5  2023届毕业生对所学课程的评价（单位：%）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毕业生对课程评价分布如下：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表7-9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毕业生对所学课程的评价</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301"/>
        <w:gridCol w:w="1570"/>
        <w:gridCol w:w="1708"/>
        <w:gridCol w:w="1708"/>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278"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872"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课程总体</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满意度</w:t>
            </w:r>
          </w:p>
        </w:tc>
        <w:tc>
          <w:tcPr>
            <w:tcW w:w="949"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专业课掌握度</w:t>
            </w:r>
          </w:p>
        </w:tc>
        <w:tc>
          <w:tcPr>
            <w:tcW w:w="949"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公共课帮助度</w:t>
            </w:r>
          </w:p>
        </w:tc>
        <w:tc>
          <w:tcPr>
            <w:tcW w:w="95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专业课满足度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8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97.86%</w:t>
            </w:r>
          </w:p>
        </w:tc>
        <w:tc>
          <w:tcPr>
            <w:tcW w:w="949"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97.86%</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97.33%</w:t>
            </w:r>
          </w:p>
        </w:tc>
        <w:tc>
          <w:tcPr>
            <w:tcW w:w="950"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8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95.97%</w:t>
            </w:r>
          </w:p>
        </w:tc>
        <w:tc>
          <w:tcPr>
            <w:tcW w:w="95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8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97.37%</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97.37%</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95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8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95.82%</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92.28%</w:t>
            </w:r>
          </w:p>
        </w:tc>
        <w:tc>
          <w:tcPr>
            <w:tcW w:w="95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8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95.45%</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95.13%</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92.53%</w:t>
            </w:r>
          </w:p>
        </w:tc>
        <w:tc>
          <w:tcPr>
            <w:tcW w:w="95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8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95.28%</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96.23%</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95.28%</w:t>
            </w:r>
          </w:p>
        </w:tc>
        <w:tc>
          <w:tcPr>
            <w:tcW w:w="95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8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94.64%</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94.05%</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92.26%</w:t>
            </w:r>
          </w:p>
        </w:tc>
        <w:tc>
          <w:tcPr>
            <w:tcW w:w="95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8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94.41%</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93.85%</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5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8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92.04%</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92.04%</w:t>
            </w:r>
          </w:p>
        </w:tc>
        <w:tc>
          <w:tcPr>
            <w:tcW w:w="95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8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95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8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92.25%</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5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8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93.65%</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94.18%</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93.39%</w:t>
            </w:r>
          </w:p>
        </w:tc>
        <w:tc>
          <w:tcPr>
            <w:tcW w:w="95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8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92.27%</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91.75%</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86.08%</w:t>
            </w:r>
          </w:p>
        </w:tc>
        <w:tc>
          <w:tcPr>
            <w:tcW w:w="95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8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90.07%</w:t>
            </w:r>
          </w:p>
        </w:tc>
        <w:tc>
          <w:tcPr>
            <w:tcW w:w="95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8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92.09%</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92.49%</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90.12%</w:t>
            </w:r>
          </w:p>
        </w:tc>
        <w:tc>
          <w:tcPr>
            <w:tcW w:w="95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87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90.69%</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92.31%</w:t>
            </w:r>
          </w:p>
        </w:tc>
        <w:tc>
          <w:tcPr>
            <w:tcW w:w="94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89.07%</w:t>
            </w:r>
          </w:p>
        </w:tc>
        <w:tc>
          <w:tcPr>
            <w:tcW w:w="95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91.9</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8"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87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49"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4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5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各专业毕业生对课程评价分布如下：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表7-10  2023届各专业毕业生对所学课程的评价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721"/>
        <w:gridCol w:w="1569"/>
        <w:gridCol w:w="1569"/>
        <w:gridCol w:w="1569"/>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51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87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课程总体</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满意度</w:t>
            </w:r>
          </w:p>
        </w:tc>
        <w:tc>
          <w:tcPr>
            <w:tcW w:w="87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专业课掌握度</w:t>
            </w:r>
          </w:p>
        </w:tc>
        <w:tc>
          <w:tcPr>
            <w:tcW w:w="87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公共课帮助度</w:t>
            </w:r>
          </w:p>
        </w:tc>
        <w:tc>
          <w:tcPr>
            <w:tcW w:w="87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专业课满足度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95.65%</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0%</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96.61%</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98.97%</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94.25%</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96.75%</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95.93%</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97.37%</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97.37%</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95.95%</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90.54%</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97.14%</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96.88%</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93.88%</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91.84%</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95.77%</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94.37%</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94.37%</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95.33%</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95.33%</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94.39%</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91.76%</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76.19%</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95.56%</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96.67%</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94.37%</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95.07%</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95.07%</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92.93%</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83.87%</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93.24%</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86.49%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92.98%</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98.25%</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91.25%</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92.19%</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92.19%</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91.84%</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93.88%</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91.67%</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90.28%</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91.02%</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91.62%</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88.62%</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91.01%</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91.01%</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86.52%</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93.18%</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89.77%</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90.59%</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88.24%</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88.24%</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86.54%</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88.46%</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90.28%</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91.67%</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90.28%</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90.24%</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90.24%</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90.24%</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85.71%</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90.32%</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83.87%</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86.21%</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86.21%</w:t>
            </w:r>
          </w:p>
        </w:tc>
        <w:tc>
          <w:tcPr>
            <w:tcW w:w="87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82.76%</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1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87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85.71%</w:t>
            </w:r>
          </w:p>
        </w:tc>
        <w:tc>
          <w:tcPr>
            <w:tcW w:w="871"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85.71%</w:t>
            </w:r>
          </w:p>
        </w:tc>
        <w:tc>
          <w:tcPr>
            <w:tcW w:w="871"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85.71%</w:t>
            </w:r>
          </w:p>
        </w:tc>
        <w:tc>
          <w:tcPr>
            <w:tcW w:w="873"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85.71%</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71"/>
        </w:numPr>
        <w:shd w:val="clear" w:color="auto" w:fill="FFFFFF"/>
        <w:spacing w:before="15" w:after="15" w:line="360" w:lineRule="auto"/>
        <w:jc w:val="left"/>
        <w:outlineLvl w:val="1"/>
        <w:rPr>
          <w:rFonts w:hint="default" w:ascii="Times New Roman" w:hAnsi="Times New Roman" w:cs="Times New Roman"/>
        </w:rPr>
      </w:pPr>
      <w:bookmarkStart w:id="87" w:name="_Toc3321"/>
      <w:r>
        <w:rPr>
          <w:rFonts w:hint="default" w:ascii="Times New Roman" w:hAnsi="Times New Roman" w:eastAsia="黑体" w:cs="Times New Roman"/>
          <w:b/>
          <w:color w:val="0F6FC6"/>
          <w:sz w:val="30"/>
          <w:u w:color="auto"/>
        </w:rPr>
        <w:t>四、对任课教师评价</w:t>
      </w:r>
      <w:bookmarkEnd w:id="8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师资队伍既是教学的主体力量，又是办学的主要条件，同时还是确保人才培养质量最关键的因素。因此调查了解学校毕业生对母校任课教师总体满意情况，并对任课教师的教学态度、教学水平、师德师风等方面进行评价，评分维度包括</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很满意、比较满意、基本满意、比较不满意和很不满意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，满意度=</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比较满意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基本满意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占比；另外针对毕业生的反馈赋予1-5分（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很不满意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=1分、</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很满意</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=5分），计算其均值。具体内容如下所示。</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2023届毕业生对学校任课教师的总体满意度为96.03%，可见母校任课教师在师德师风、教学态度和教学水平方面均得到毕业生的普遍认可和高度评价。</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29760" cy="2362835"/>
            <wp:effectExtent l="0" t="0" r="8890" b="18415"/>
            <wp:docPr id="48"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图7-6  2023届毕业生对任课教师的评价（单位：%）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毕业生对任课教师的评价分布如下：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表7-11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毕业生对任课教师的评价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329"/>
        <w:gridCol w:w="1667"/>
        <w:gridCol w:w="1667"/>
        <w:gridCol w:w="1667"/>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29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92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任课教师总体</w:t>
            </w:r>
          </w:p>
        </w:tc>
        <w:tc>
          <w:tcPr>
            <w:tcW w:w="92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师德师风</w:t>
            </w:r>
          </w:p>
        </w:tc>
        <w:tc>
          <w:tcPr>
            <w:tcW w:w="92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教学态度</w:t>
            </w:r>
          </w:p>
        </w:tc>
        <w:tc>
          <w:tcPr>
            <w:tcW w:w="92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教学水平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97.77%</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97.77%</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97.21%</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97.64%</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98.11%</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97.17%</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97.62%</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97.02%</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97.33%</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97.86%</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97.86%</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97.08%</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97.73%</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97.08%</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96.78%</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97.35%</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95.14%</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94.33%</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94.85%</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94.85%</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94.33%</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94.57%</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94.57%</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95.35%</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94.47%</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94.07%</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94.47%</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95.77%</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96.03%</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93.62%</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各专业毕业生对任课教师的评价分布如下：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表7-12  2023届各专业毕业生对任课教师的评价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709"/>
        <w:gridCol w:w="1572"/>
        <w:gridCol w:w="1572"/>
        <w:gridCol w:w="1572"/>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50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87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任课教师总体</w:t>
            </w:r>
          </w:p>
        </w:tc>
        <w:tc>
          <w:tcPr>
            <w:tcW w:w="87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师德师风</w:t>
            </w:r>
          </w:p>
        </w:tc>
        <w:tc>
          <w:tcPr>
            <w:tcW w:w="87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教学态度</w:t>
            </w:r>
          </w:p>
        </w:tc>
        <w:tc>
          <w:tcPr>
            <w:tcW w:w="87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教学水平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97.78%</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96.67%</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96.55%</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98.25%</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98.25%</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95.45%</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94.95%</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92.93%</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94.61%</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94.01%</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93.41%</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94.38%</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93.26%</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93.26%</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93.46%</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94.39%</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96.26%</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91.67%</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90.63%</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95.31%</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87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7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7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0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89.66%</w:t>
            </w:r>
          </w:p>
        </w:tc>
        <w:tc>
          <w:tcPr>
            <w:tcW w:w="87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86.21%</w:t>
            </w:r>
          </w:p>
        </w:tc>
        <w:tc>
          <w:tcPr>
            <w:tcW w:w="873"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86.21%</w:t>
            </w:r>
          </w:p>
        </w:tc>
        <w:tc>
          <w:tcPr>
            <w:tcW w:w="875"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86.21%</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72"/>
        </w:numPr>
        <w:shd w:val="clear" w:color="auto" w:fill="FFFFFF"/>
        <w:spacing w:before="15" w:after="15" w:line="360" w:lineRule="auto"/>
        <w:jc w:val="left"/>
        <w:outlineLvl w:val="1"/>
        <w:rPr>
          <w:rFonts w:hint="default" w:ascii="Times New Roman" w:hAnsi="Times New Roman" w:cs="Times New Roman"/>
        </w:rPr>
      </w:pPr>
      <w:bookmarkStart w:id="88" w:name="_Toc14620"/>
      <w:r>
        <w:rPr>
          <w:rFonts w:hint="default" w:ascii="Times New Roman" w:hAnsi="Times New Roman" w:eastAsia="黑体" w:cs="Times New Roman"/>
          <w:b/>
          <w:color w:val="0F6FC6"/>
          <w:sz w:val="30"/>
          <w:u w:color="auto"/>
        </w:rPr>
        <w:t>五、对学风建设评价</w:t>
      </w:r>
      <w:bookmarkEnd w:id="8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学风能体现一所学校的学习氛围，也代表着学校的精神风貌。调查了解毕业生对课堂听讲、课后自习和学习交流方面的评价。</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2023届毕业生对母校学风建设的总体满意度为95.8</w:t>
      </w:r>
      <w:r>
        <w:rPr>
          <w:rFonts w:hint="eastAsia" w:cs="Times New Roman"/>
          <w:b w:val="0"/>
          <w:color w:val="000000"/>
          <w:sz w:val="24"/>
          <w:u w:color="auto"/>
          <w:lang w:val="en-US" w:eastAsia="zh-CN"/>
        </w:rPr>
        <w:t>0</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89120" cy="2451100"/>
            <wp:effectExtent l="0" t="0" r="11430" b="6350"/>
            <wp:docPr id="49"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图7-7  2023届毕业生对学风建设的评价（单位：%）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毕业生对学风建设评价分布如下：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表7-13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毕业生对学风建设的评价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329"/>
        <w:gridCol w:w="1667"/>
        <w:gridCol w:w="1667"/>
        <w:gridCol w:w="1667"/>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29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92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学风建设总体</w:t>
            </w:r>
          </w:p>
        </w:tc>
        <w:tc>
          <w:tcPr>
            <w:tcW w:w="92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课堂听讲</w:t>
            </w:r>
          </w:p>
        </w:tc>
        <w:tc>
          <w:tcPr>
            <w:tcW w:w="92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课后自习</w:t>
            </w:r>
          </w:p>
        </w:tc>
        <w:tc>
          <w:tcPr>
            <w:tcW w:w="92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学习交流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97.86%</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97.33%</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96.26%</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97.58%</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97.21%</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97.21%</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97.21%</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97.02%</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97.02%</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96.78%</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96.78%</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96.78%</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97.17%</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95.45%</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94.18%</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94.85%</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94.85%</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94.57%</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94.33%</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93.62%</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94.07%</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95.26%</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94.86%</w:t>
            </w:r>
          </w:p>
        </w:tc>
        <w:tc>
          <w:tcPr>
            <w:tcW w:w="92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93.52%</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93.52%</w:t>
            </w:r>
          </w:p>
        </w:tc>
        <w:tc>
          <w:tcPr>
            <w:tcW w:w="92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93.52%</w:t>
            </w:r>
          </w:p>
        </w:tc>
        <w:tc>
          <w:tcPr>
            <w:tcW w:w="92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27"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各专业毕业生对学风建设评价分布如下：</w:t>
      </w:r>
    </w:p>
    <w:p>
      <w:pPr>
        <w:spacing w:line="360" w:lineRule="auto"/>
        <w:jc w:val="center"/>
        <w:rPr>
          <w:rFonts w:hint="default" w:ascii="Times New Roman" w:hAnsi="Times New Roman" w:eastAsia="宋体" w:cs="Times New Roman"/>
          <w:b/>
          <w:color w:val="0F6FC6"/>
          <w:sz w:val="21"/>
          <w:u w:color="auto"/>
        </w:rPr>
      </w:pP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表7-14  2023届各专业毕业生对学风建设的评价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640"/>
        <w:gridCol w:w="1590"/>
        <w:gridCol w:w="1590"/>
        <w:gridCol w:w="159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466"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88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学风建设总体</w:t>
            </w:r>
          </w:p>
        </w:tc>
        <w:tc>
          <w:tcPr>
            <w:tcW w:w="88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课堂听讲</w:t>
            </w:r>
          </w:p>
        </w:tc>
        <w:tc>
          <w:tcPr>
            <w:tcW w:w="88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课后自习</w:t>
            </w:r>
          </w:p>
        </w:tc>
        <w:tc>
          <w:tcPr>
            <w:tcW w:w="88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学习交流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96.61%</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94.92%</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96.75%</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97.14%</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97.14%</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96.11%</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96.67%</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96.11%</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93.24%</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93.88%</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93.68%</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95.45%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97.73%</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95.33%</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95.33%</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93.46%</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95.31%</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96.88%</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95.31%</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93.41%</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92.81%</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94.61%</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93.26%</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93.26%</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93.26%</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93.24%</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93.24%</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91.89%</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92.68%</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92.68%</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91.25%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91.25%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92.31%</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88.46%</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90.32%</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66"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8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86.21%</w:t>
            </w:r>
          </w:p>
        </w:tc>
        <w:tc>
          <w:tcPr>
            <w:tcW w:w="883"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86.21%</w:t>
            </w:r>
          </w:p>
        </w:tc>
        <w:tc>
          <w:tcPr>
            <w:tcW w:w="883"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86.21%</w:t>
            </w:r>
          </w:p>
        </w:tc>
        <w:tc>
          <w:tcPr>
            <w:tcW w:w="883"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86.21%</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73"/>
        </w:numPr>
        <w:shd w:val="clear" w:color="auto" w:fill="FFFFFF"/>
        <w:spacing w:before="15" w:after="15" w:line="360" w:lineRule="auto"/>
        <w:jc w:val="left"/>
        <w:outlineLvl w:val="1"/>
        <w:rPr>
          <w:rFonts w:hint="default" w:ascii="Times New Roman" w:hAnsi="Times New Roman" w:cs="Times New Roman"/>
        </w:rPr>
      </w:pPr>
      <w:bookmarkStart w:id="89" w:name="_Toc5380"/>
      <w:r>
        <w:rPr>
          <w:rFonts w:hint="default" w:ascii="Times New Roman" w:hAnsi="Times New Roman" w:eastAsia="黑体" w:cs="Times New Roman"/>
          <w:b/>
          <w:color w:val="0F6FC6"/>
          <w:sz w:val="30"/>
          <w:u w:color="auto"/>
        </w:rPr>
        <w:t>六、对课堂教学评价</w:t>
      </w:r>
      <w:bookmarkEnd w:id="8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highlight w:val="none"/>
          <w:u w:color="auto"/>
        </w:rPr>
        <w:t>课堂教学是培养专业人才的基本环节，是高校教学中的一个重要组成部分。从整体来看，2023届毕业生对课堂教学的总体满意度为95.87%。其中，毕业生对课堂教学过程中的</w:t>
      </w:r>
      <w:r>
        <w:rPr>
          <w:rFonts w:hint="eastAsia" w:eastAsia="宋体" w:cs="Times New Roman"/>
          <w:b w:val="0"/>
          <w:color w:val="000000"/>
          <w:sz w:val="24"/>
          <w:highlight w:val="none"/>
          <w:u w:color="auto"/>
          <w:lang w:eastAsia="zh-CN"/>
        </w:rPr>
        <w:t>“</w:t>
      </w:r>
      <w:r>
        <w:rPr>
          <w:rFonts w:hint="eastAsia" w:cs="Times New Roman"/>
          <w:b w:val="0"/>
          <w:color w:val="000000"/>
          <w:sz w:val="24"/>
          <w:highlight w:val="none"/>
          <w:u w:color="auto"/>
          <w:lang w:val="en-US" w:eastAsia="zh-CN"/>
        </w:rPr>
        <w:t>课程目标</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评价最高，</w:t>
      </w:r>
      <w:r>
        <w:rPr>
          <w:rFonts w:hint="eastAsia" w:eastAsia="宋体" w:cs="Times New Roman"/>
          <w:b w:val="0"/>
          <w:color w:val="000000"/>
          <w:sz w:val="24"/>
          <w:highlight w:val="none"/>
          <w:u w:color="auto"/>
          <w:lang w:eastAsia="zh-CN"/>
        </w:rPr>
        <w:t>“</w:t>
      </w:r>
      <w:r>
        <w:rPr>
          <w:rFonts w:hint="eastAsia" w:cs="Times New Roman"/>
          <w:b w:val="0"/>
          <w:color w:val="000000"/>
          <w:sz w:val="24"/>
          <w:highlight w:val="none"/>
          <w:u w:color="auto"/>
          <w:lang w:val="en-US" w:eastAsia="zh-CN"/>
        </w:rPr>
        <w:t>课堂纪律</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次之。</w:t>
      </w:r>
      <w:r>
        <w:rPr>
          <w:rFonts w:hint="default" w:ascii="Times New Roman" w:hAnsi="Times New Roman" w:eastAsia="宋体" w:cs="Times New Roman"/>
          <w:b w:val="0"/>
          <w:color w:val="000000"/>
          <w:sz w:val="24"/>
          <w:u w:color="auto"/>
        </w:rPr>
        <w:t>体现了学校多元化人才培养机制的合理性及科学性，为毕业生更好地就业奠定了坚实的基础。</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579110" cy="2305685"/>
            <wp:effectExtent l="0" t="0" r="2540" b="18415"/>
            <wp:docPr id="50"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图7-8  2023届毕业生对课堂教学各方面评价的分布（单位：%）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毕业生对课堂教学评价分布如下：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表7-15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毕业生对课堂教学各方面的评价</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158"/>
        <w:gridCol w:w="1159"/>
        <w:gridCol w:w="1136"/>
        <w:gridCol w:w="1136"/>
        <w:gridCol w:w="1136"/>
        <w:gridCol w:w="1136"/>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199"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64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课堂教学总体</w:t>
            </w:r>
          </w:p>
        </w:tc>
        <w:tc>
          <w:tcPr>
            <w:tcW w:w="63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课堂纪律</w:t>
            </w:r>
          </w:p>
        </w:tc>
        <w:tc>
          <w:tcPr>
            <w:tcW w:w="63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教学效果</w:t>
            </w:r>
          </w:p>
        </w:tc>
        <w:tc>
          <w:tcPr>
            <w:tcW w:w="63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师生互动</w:t>
            </w:r>
          </w:p>
        </w:tc>
        <w:tc>
          <w:tcPr>
            <w:tcW w:w="63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反馈指导</w:t>
            </w:r>
          </w:p>
        </w:tc>
        <w:tc>
          <w:tcPr>
            <w:tcW w:w="63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6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6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97.86%</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97.86%</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96.79%</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97.86%</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97.86%</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6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97.21%</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96.65%</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96.65%</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97.77%</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96.65%</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6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97.11%</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97.11%</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97.11%</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96.78%</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96.78%</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6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97.02%</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94.64%</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6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95.97%</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6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96.75%</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95.13%</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94.81%</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6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97.64%</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97.17%</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97.64%</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98.11%</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6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6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95.35%</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95.35%</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95.35%</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93.02%</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6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94.85%</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94.85%</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94.33%</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93.81%</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6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93.93%</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93.52%</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93.93%</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6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94.71%</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94.97%</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94.97%</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6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6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94.07%</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94.47%</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94.07%</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94.47%</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94.07%</w:t>
            </w:r>
          </w:p>
        </w:tc>
        <w:tc>
          <w:tcPr>
            <w:tcW w:w="6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64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93.62%</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c>
          <w:tcPr>
            <w:tcW w:w="6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99"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64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31"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各专业毕业生对课堂教学评价分布如下：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表7-16  2023届各专业毕业生对课堂教学各方面的评价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490"/>
        <w:gridCol w:w="1085"/>
        <w:gridCol w:w="1085"/>
        <w:gridCol w:w="1085"/>
        <w:gridCol w:w="1085"/>
        <w:gridCol w:w="1085"/>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38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602"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课堂教学总体</w:t>
            </w:r>
          </w:p>
        </w:tc>
        <w:tc>
          <w:tcPr>
            <w:tcW w:w="602"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课堂</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纪律</w:t>
            </w:r>
          </w:p>
        </w:tc>
        <w:tc>
          <w:tcPr>
            <w:tcW w:w="602"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教学</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效果</w:t>
            </w:r>
          </w:p>
        </w:tc>
        <w:tc>
          <w:tcPr>
            <w:tcW w:w="602"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师生</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互动</w:t>
            </w:r>
          </w:p>
        </w:tc>
        <w:tc>
          <w:tcPr>
            <w:tcW w:w="602"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反馈</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指导</w:t>
            </w:r>
          </w:p>
        </w:tc>
        <w:tc>
          <w:tcPr>
            <w:tcW w:w="602"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课程</w:t>
            </w:r>
          </w:p>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95.65%</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96.61%</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96.91%</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90.32%</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98.25%</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98.25%</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96.11%</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95.95%</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95.45%</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97.73%</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95.45%</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95.45%</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96.26%</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93.46%</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96.26%</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94.12%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85.71%</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85.71%</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92.68%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92.68%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93.24%</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89.19%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94.01%</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94.01%</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92.81%</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93.41%</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92.81%</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92.13%</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92.93%</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92.19%</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95.31%</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60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38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60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86.21%</w:t>
            </w:r>
          </w:p>
        </w:tc>
        <w:tc>
          <w:tcPr>
            <w:tcW w:w="602"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86.21%</w:t>
            </w:r>
          </w:p>
        </w:tc>
        <w:tc>
          <w:tcPr>
            <w:tcW w:w="602" w:type="pct"/>
            <w:vAlign w:val="center"/>
          </w:tcPr>
          <w:p>
            <w:pPr>
              <w:jc w:val="center"/>
              <w:rPr>
                <w:rFonts w:hint="default" w:ascii="Times New Roman" w:hAnsi="Times New Roman" w:eastAsia="宋体" w:cs="Times New Roman"/>
                <w:sz w:val="21"/>
                <w:szCs w:val="22"/>
              </w:rPr>
            </w:pPr>
            <w:r>
              <w:rPr>
                <w:rFonts w:hint="default" w:ascii="Times New Roman" w:hAnsi="Times New Roman" w:eastAsia="宋体" w:cs="Times New Roman"/>
                <w:color w:val="000000"/>
                <w:sz w:val="22"/>
                <w:u w:color="auto"/>
              </w:rPr>
              <w:t>86.21%</w:t>
            </w:r>
          </w:p>
        </w:tc>
        <w:tc>
          <w:tcPr>
            <w:tcW w:w="602"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86.21%</w:t>
            </w:r>
          </w:p>
        </w:tc>
        <w:tc>
          <w:tcPr>
            <w:tcW w:w="602"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86.21%</w:t>
            </w:r>
          </w:p>
        </w:tc>
        <w:tc>
          <w:tcPr>
            <w:tcW w:w="602"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86.21%</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74"/>
        </w:numPr>
        <w:shd w:val="clear" w:color="auto" w:fill="FFFFFF"/>
        <w:spacing w:before="15" w:after="15" w:line="360" w:lineRule="auto"/>
        <w:jc w:val="left"/>
        <w:outlineLvl w:val="1"/>
        <w:rPr>
          <w:rFonts w:hint="default" w:ascii="Times New Roman" w:hAnsi="Times New Roman" w:cs="Times New Roman"/>
        </w:rPr>
      </w:pPr>
      <w:bookmarkStart w:id="90" w:name="_Toc17672"/>
      <w:r>
        <w:rPr>
          <w:rFonts w:hint="default" w:ascii="Times New Roman" w:hAnsi="Times New Roman" w:eastAsia="黑体" w:cs="Times New Roman"/>
          <w:b/>
          <w:color w:val="0F6FC6"/>
          <w:sz w:val="30"/>
          <w:u w:color="auto"/>
        </w:rPr>
        <w:t>七、对实践教学的评价</w:t>
      </w:r>
      <w:bookmarkEnd w:id="9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实践教学是培养专业人才的基本环节，是高校教学中的一个重要组成部分，同时还是确保高校教学质量和毕业生与当前社会需求契合度的关键因素。2023届毕业生对母校实践教学总体满意度为95.67%。可见学校实践教学各方面均得到了毕业生的广泛认可。</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66895" cy="2254885"/>
            <wp:effectExtent l="0" t="0" r="14605" b="12065"/>
            <wp:docPr id="51"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图7-9  2023届毕业生对实践教学的评价（单位：%）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w:t>
      </w:r>
      <w:r>
        <w:rPr>
          <w:rFonts w:hint="eastAsia" w:cs="Times New Roman"/>
          <w:b w:val="0"/>
          <w:color w:val="000000"/>
          <w:sz w:val="24"/>
          <w:u w:color="auto"/>
          <w:lang w:val="en-US" w:eastAsia="zh-CN"/>
        </w:rPr>
        <w:t>系</w:t>
      </w:r>
      <w:r>
        <w:rPr>
          <w:rFonts w:hint="default" w:ascii="Times New Roman" w:hAnsi="Times New Roman" w:eastAsia="宋体" w:cs="Times New Roman"/>
          <w:b w:val="0"/>
          <w:color w:val="000000"/>
          <w:sz w:val="24"/>
          <w:u w:color="auto"/>
        </w:rPr>
        <w:t>毕业生对实践教学评价分布如下：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表7-17  2023届各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毕业生对实践教学的评价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132"/>
        <w:gridCol w:w="1717"/>
        <w:gridCol w:w="1717"/>
        <w:gridCol w:w="1609"/>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18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系</w:t>
            </w:r>
          </w:p>
        </w:tc>
        <w:tc>
          <w:tcPr>
            <w:tcW w:w="95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实践教学总体</w:t>
            </w:r>
          </w:p>
        </w:tc>
        <w:tc>
          <w:tcPr>
            <w:tcW w:w="95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内容实用性</w:t>
            </w:r>
          </w:p>
        </w:tc>
        <w:tc>
          <w:tcPr>
            <w:tcW w:w="89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开展充分性</w:t>
            </w:r>
          </w:p>
        </w:tc>
        <w:tc>
          <w:tcPr>
            <w:tcW w:w="1013"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组织管理有效性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材料科学与工程系</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53"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93"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1013"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生物科学与技术系</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98.93%</w:t>
            </w:r>
          </w:p>
        </w:tc>
        <w:tc>
          <w:tcPr>
            <w:tcW w:w="101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98.4</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马克思主义学院(筹)</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98.39%</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98.39%</w:t>
            </w:r>
          </w:p>
        </w:tc>
        <w:tc>
          <w:tcPr>
            <w:tcW w:w="8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98.39%</w:t>
            </w:r>
          </w:p>
        </w:tc>
        <w:tc>
          <w:tcPr>
            <w:tcW w:w="101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物理与电子工程系</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98.23%</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c>
          <w:tcPr>
            <w:tcW w:w="8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c>
          <w:tcPr>
            <w:tcW w:w="101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经济管理系</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97.43%</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96.78%</w:t>
            </w:r>
          </w:p>
        </w:tc>
        <w:tc>
          <w:tcPr>
            <w:tcW w:w="8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97.43%</w:t>
            </w:r>
          </w:p>
        </w:tc>
        <w:tc>
          <w:tcPr>
            <w:tcW w:w="101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化学化工系</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97.21%</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97.21%</w:t>
            </w:r>
          </w:p>
        </w:tc>
        <w:tc>
          <w:tcPr>
            <w:tcW w:w="8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97.21%</w:t>
            </w:r>
          </w:p>
        </w:tc>
        <w:tc>
          <w:tcPr>
            <w:tcW w:w="101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教育科学与技术系</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97.64%</w:t>
            </w:r>
          </w:p>
        </w:tc>
        <w:tc>
          <w:tcPr>
            <w:tcW w:w="8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97.64%</w:t>
            </w:r>
          </w:p>
        </w:tc>
        <w:tc>
          <w:tcPr>
            <w:tcW w:w="101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中文系</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c>
          <w:tcPr>
            <w:tcW w:w="8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c>
          <w:tcPr>
            <w:tcW w:w="101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音乐系</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94.64%</w:t>
            </w:r>
          </w:p>
        </w:tc>
        <w:tc>
          <w:tcPr>
            <w:tcW w:w="8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101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体育系</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c>
          <w:tcPr>
            <w:tcW w:w="8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94.69%</w:t>
            </w:r>
          </w:p>
        </w:tc>
        <w:tc>
          <w:tcPr>
            <w:tcW w:w="101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机械系</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94.71%</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8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94.18%</w:t>
            </w:r>
          </w:p>
        </w:tc>
        <w:tc>
          <w:tcPr>
            <w:tcW w:w="101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外语系</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94.57%</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94.57%</w:t>
            </w:r>
          </w:p>
        </w:tc>
        <w:tc>
          <w:tcPr>
            <w:tcW w:w="101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数学系</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93.52%</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92.71%</w:t>
            </w:r>
          </w:p>
        </w:tc>
        <w:tc>
          <w:tcPr>
            <w:tcW w:w="8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93.52%</w:t>
            </w:r>
          </w:p>
        </w:tc>
        <w:tc>
          <w:tcPr>
            <w:tcW w:w="101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信息技术与工程系</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101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美术系</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93.28%</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93.28%</w:t>
            </w:r>
          </w:p>
        </w:tc>
        <w:tc>
          <w:tcPr>
            <w:tcW w:w="89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94.07%</w:t>
            </w:r>
          </w:p>
        </w:tc>
        <w:tc>
          <w:tcPr>
            <w:tcW w:w="101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旅游管理系</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c>
          <w:tcPr>
            <w:tcW w:w="95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c>
          <w:tcPr>
            <w:tcW w:w="89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93.62%</w:t>
            </w:r>
          </w:p>
        </w:tc>
        <w:tc>
          <w:tcPr>
            <w:tcW w:w="1013"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8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文化产业系</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53"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93"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1013"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各专业毕业生对实践教学评价分布如下：</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表7-18  2023届各专业毕业生对实践教学的评价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756"/>
        <w:gridCol w:w="1561"/>
        <w:gridCol w:w="1485"/>
        <w:gridCol w:w="1430"/>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531"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867"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实践教学总体</w:t>
            </w:r>
          </w:p>
        </w:tc>
        <w:tc>
          <w:tcPr>
            <w:tcW w:w="825"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内容实用性</w:t>
            </w:r>
          </w:p>
        </w:tc>
        <w:tc>
          <w:tcPr>
            <w:tcW w:w="794"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开展充分性</w:t>
            </w:r>
          </w:p>
        </w:tc>
        <w:tc>
          <w:tcPr>
            <w:tcW w:w="982"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组织管理有效性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25"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794"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82"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97.96%</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98.97%</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98.97%</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98.97%</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97.14%</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98.37%</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98.37%</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98.37%</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97.13%</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98.25%</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96.11%</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93.88%</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93.88%</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95.65%</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95.65%</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95.65%</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92.68%</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95.12%</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94.39%</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94.39%</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94.39%</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94.32%</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95.45%</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95.31%</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93.24%</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91.89%</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91.89%</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91.67%</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92.93%</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91.92%</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92.93%</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92.86%</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92.81%</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92.22%</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92.81%</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92.13%</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92.13%</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92.13%</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92.0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91.25%</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91.25%</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91.25%</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c>
          <w:tcPr>
            <w:tcW w:w="825"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794"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c>
          <w:tcPr>
            <w:tcW w:w="982"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867"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825"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794"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c>
          <w:tcPr>
            <w:tcW w:w="982"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31"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867"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86.21%</w:t>
            </w:r>
          </w:p>
        </w:tc>
        <w:tc>
          <w:tcPr>
            <w:tcW w:w="825"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86.21%</w:t>
            </w:r>
          </w:p>
        </w:tc>
        <w:tc>
          <w:tcPr>
            <w:tcW w:w="794"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86.21%</w:t>
            </w:r>
          </w:p>
        </w:tc>
        <w:tc>
          <w:tcPr>
            <w:tcW w:w="982" w:type="pct"/>
            <w:vAlign w:val="center"/>
          </w:tcPr>
          <w:p>
            <w:pPr>
              <w:jc w:val="center"/>
              <w:rPr>
                <w:rFonts w:hint="default" w:ascii="Times New Roman" w:hAnsi="Times New Roman" w:eastAsia="宋体" w:cs="Times New Roman"/>
                <w:color w:val="000000"/>
                <w:sz w:val="22"/>
                <w:u w:color="auto"/>
              </w:rPr>
            </w:pPr>
            <w:r>
              <w:rPr>
                <w:rFonts w:hint="default" w:ascii="Times New Roman" w:hAnsi="Times New Roman" w:eastAsia="宋体" w:cs="Times New Roman"/>
                <w:color w:val="000000"/>
                <w:sz w:val="22"/>
                <w:u w:color="auto"/>
              </w:rPr>
              <w:t>86.21%</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75"/>
        </w:numPr>
        <w:shd w:val="clear" w:color="auto" w:fill="FFFFFF"/>
        <w:spacing w:before="15" w:after="15" w:line="360" w:lineRule="auto"/>
        <w:jc w:val="left"/>
        <w:outlineLvl w:val="1"/>
        <w:rPr>
          <w:rFonts w:hint="default" w:ascii="Times New Roman" w:hAnsi="Times New Roman" w:cs="Times New Roman"/>
        </w:rPr>
      </w:pPr>
      <w:bookmarkStart w:id="91" w:name="_Toc31672"/>
      <w:r>
        <w:rPr>
          <w:rFonts w:hint="default" w:ascii="Times New Roman" w:hAnsi="Times New Roman" w:eastAsia="黑体" w:cs="Times New Roman"/>
          <w:b/>
          <w:color w:val="0F6FC6"/>
          <w:sz w:val="30"/>
          <w:u w:color="auto"/>
        </w:rPr>
        <w:t>八、对毕业要求达成度评价</w:t>
      </w:r>
      <w:bookmarkEnd w:id="9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毕业要求是对学生毕业时应该掌握的知识和能力的具体描述，包括学生通过本专业学习所掌握的知识、技能和素养。毕业要求达成度越高，表明毕业生所掌握的知识、能力、素养越好，可以检验学校人才培养是否达到预期要求。</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2023届毕业生认为其毕业要求达成度为97.82%，达成情况良好。</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92930" cy="2256790"/>
            <wp:effectExtent l="0" t="0" r="7620" b="10160"/>
            <wp:docPr id="52"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图7-10  2023届毕业生对毕业要求达成度的评价</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各专业的毕业要求达成情况如下表所示：</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表7-19  2023届各专业毕业生对毕业要求达成</w:t>
      </w:r>
      <w:r>
        <w:rPr>
          <w:rFonts w:hint="eastAsia" w:cs="Times New Roman"/>
          <w:b/>
          <w:color w:val="0F6FC6"/>
          <w:sz w:val="21"/>
          <w:u w:color="auto"/>
          <w:lang w:val="en-US" w:eastAsia="zh-CN"/>
        </w:rPr>
        <w:t>度</w:t>
      </w:r>
      <w:r>
        <w:rPr>
          <w:rFonts w:hint="default" w:ascii="Times New Roman" w:hAnsi="Times New Roman" w:eastAsia="宋体" w:cs="Times New Roman"/>
          <w:b/>
          <w:color w:val="0F6FC6"/>
          <w:sz w:val="21"/>
          <w:u w:color="auto"/>
        </w:rPr>
        <w:t>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毕业要求达成度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99.3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76"/>
        </w:numPr>
        <w:shd w:val="clear" w:color="auto" w:fill="FFFFFF"/>
        <w:spacing w:before="15" w:after="15" w:line="360" w:lineRule="auto"/>
        <w:jc w:val="left"/>
        <w:outlineLvl w:val="1"/>
        <w:rPr>
          <w:rFonts w:hint="default" w:ascii="Times New Roman" w:hAnsi="Times New Roman" w:cs="Times New Roman"/>
        </w:rPr>
      </w:pPr>
      <w:bookmarkStart w:id="92" w:name="_Toc3488"/>
      <w:r>
        <w:rPr>
          <w:rFonts w:hint="default" w:ascii="Times New Roman" w:hAnsi="Times New Roman" w:eastAsia="黑体" w:cs="Times New Roman"/>
          <w:b/>
          <w:color w:val="0F6FC6"/>
          <w:sz w:val="30"/>
          <w:u w:color="auto"/>
        </w:rPr>
        <w:t>九、专业社会需求度</w:t>
      </w:r>
      <w:bookmarkEnd w:id="9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专业社会需求度是毕业生评价所学专业能否满足社会需求；加强专业建设是中国高等教育教学改革的重头戏，对毕业生培养质量和社会需求进行跟踪调研，获取专业整改的参考依据，发现专业的发展和整改方向。</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2023届毕业生认为所学专业的社会需求度为94.07%，专业社会需求度较高。</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557395" cy="2324735"/>
            <wp:effectExtent l="0" t="0" r="14605" b="18415"/>
            <wp:docPr id="53"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图7-11  2023届毕业生对专业社会需求度的评价</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各专业的专业社会需求度如下表所示：</w:t>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表7-20  2023届各专业毕业生对专业社会需求度的评价</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专业社会需求度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汉语言文学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机械电子工程</w:t>
            </w:r>
          </w:p>
        </w:tc>
        <w:tc>
          <w:tcPr>
            <w:tcW w:w="2500" w:type="pct"/>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100.0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计算机科学与技术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轨道交通信号与控制</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机械设计制造及其自动化</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生物科学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思想政治教育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电子科学与技术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数学与应用数学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自动化</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体育教育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物联网工程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视觉传达设计</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财务管理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汽车服务工程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书法学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应用化学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人力资源管理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网络与新媒体</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机械工艺技术</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学前教育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汉语国际教育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经济学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化学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小学教育</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新闻学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环境科学与工程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91.3</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美术学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环境设计</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食品科学与工程</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物理学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90.28%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翻译</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89.8</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复合材料与工程</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武术与民族传统体育</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舞蹈学</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音乐学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数据科学与大数据技术</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信息与计算科学</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87.1</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酒店管理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文化产业管理</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84.0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旅游管理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英语</w:t>
            </w:r>
          </w:p>
        </w:tc>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会展经济与管理</w:t>
            </w:r>
          </w:p>
        </w:tc>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80.0</w:t>
            </w:r>
            <w:r>
              <w:rPr>
                <w:rFonts w:hint="eastAsia" w:cs="Times New Roman"/>
                <w:color w:val="000000"/>
                <w:sz w:val="22"/>
                <w:u w:color="auto"/>
                <w:lang w:val="en-US" w:eastAsia="zh-CN"/>
              </w:rPr>
              <w:t>0</w:t>
            </w:r>
            <w:r>
              <w:rPr>
                <w:rFonts w:hint="default" w:ascii="Times New Roman" w:hAnsi="Times New Roman" w:eastAsia="宋体" w:cs="Times New Roman"/>
                <w:color w:val="000000"/>
                <w:sz w:val="22"/>
                <w:u w:color="auto"/>
              </w:rPr>
              <w:t>%</w:t>
            </w:r>
          </w:p>
        </w:tc>
      </w:tr>
    </w:tbl>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77"/>
        </w:numPr>
        <w:shd w:val="clear" w:color="auto" w:fill="FFFFFF"/>
        <w:spacing w:before="15" w:after="15" w:line="360" w:lineRule="auto"/>
        <w:jc w:val="left"/>
        <w:outlineLvl w:val="1"/>
        <w:rPr>
          <w:rFonts w:hint="default" w:ascii="Times New Roman" w:hAnsi="Times New Roman" w:cs="Times New Roman"/>
        </w:rPr>
      </w:pPr>
      <w:bookmarkStart w:id="93" w:name="_Toc22380"/>
      <w:r>
        <w:rPr>
          <w:rFonts w:hint="default" w:ascii="Times New Roman" w:hAnsi="Times New Roman" w:eastAsia="黑体" w:cs="Times New Roman"/>
          <w:b/>
          <w:color w:val="0F6FC6"/>
          <w:sz w:val="30"/>
          <w:u w:color="auto"/>
        </w:rPr>
        <w:t>十、对教学设施评价</w:t>
      </w:r>
      <w:bookmarkEnd w:id="9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对教学设施评价旨在充分发挥现有资源的作用，不断提高教育教学质量，逐步实现教育内容、教育手段和教学资源的现代化。</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学校2023届毕业生对学校各项教学设施的满意度均在94.71%及以上；其中满意度最高的三方面是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图书馆及相关资料</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（95.</w:t>
      </w:r>
      <w:r>
        <w:rPr>
          <w:rFonts w:hint="eastAsia" w:cs="Times New Roman"/>
          <w:b w:val="0"/>
          <w:color w:val="000000"/>
          <w:sz w:val="24"/>
          <w:u w:color="auto"/>
          <w:lang w:val="en-US" w:eastAsia="zh-CN"/>
        </w:rPr>
        <w:t>67</w:t>
      </w:r>
      <w:r>
        <w:rPr>
          <w:rFonts w:hint="default" w:ascii="Times New Roman" w:hAnsi="Times New Roman" w:eastAsia="宋体" w:cs="Times New Roman"/>
          <w:b w:val="0"/>
          <w:color w:val="000000"/>
          <w:sz w:val="24"/>
          <w:u w:color="auto"/>
        </w:rPr>
        <w:t>%）、</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教室及教学设备</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（95.</w:t>
      </w:r>
      <w:r>
        <w:rPr>
          <w:rFonts w:hint="eastAsia" w:cs="Times New Roman"/>
          <w:b w:val="0"/>
          <w:color w:val="000000"/>
          <w:sz w:val="24"/>
          <w:u w:color="auto"/>
          <w:lang w:val="en-US" w:eastAsia="zh-CN"/>
        </w:rPr>
        <w:t>58</w:t>
      </w:r>
      <w:r>
        <w:rPr>
          <w:rFonts w:hint="default" w:ascii="Times New Roman" w:hAnsi="Times New Roman" w:eastAsia="宋体" w:cs="Times New Roman"/>
          <w:b w:val="0"/>
          <w:color w:val="000000"/>
          <w:sz w:val="24"/>
          <w:u w:color="auto"/>
        </w:rPr>
        <w:t>%）和</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实验室及相关设备</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（95.</w:t>
      </w:r>
      <w:r>
        <w:rPr>
          <w:rFonts w:hint="eastAsia" w:cs="Times New Roman"/>
          <w:b w:val="0"/>
          <w:color w:val="000000"/>
          <w:sz w:val="24"/>
          <w:u w:color="auto"/>
          <w:lang w:val="en-US" w:eastAsia="zh-CN"/>
        </w:rPr>
        <w:t>19</w:t>
      </w:r>
      <w:r>
        <w:rPr>
          <w:rFonts w:hint="default" w:ascii="Times New Roman" w:hAnsi="Times New Roman" w:eastAsia="宋体" w:cs="Times New Roman"/>
          <w:b w:val="0"/>
          <w:color w:val="000000"/>
          <w:sz w:val="24"/>
          <w:u w:color="auto"/>
        </w:rPr>
        <w:t>%）。</w:t>
      </w:r>
    </w:p>
    <w:tbl>
      <w:tblPr>
        <w:tblStyle w:val="14"/>
        <w:tblW w:w="0" w:type="auto"/>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26"/>
        <w:gridCol w:w="2993"/>
        <w:gridCol w:w="29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9" w:hRule="atLeast"/>
        </w:trPr>
        <w:tc>
          <w:tcPr>
            <w:tcW w:w="3326" w:type="dxa"/>
            <w:tcBorders>
              <w:tl2br w:val="nil"/>
              <w:tr2bl w:val="nil"/>
            </w:tcBorders>
            <w:vAlign w:val="center"/>
          </w:tcPr>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jc w:val="center"/>
              <w:textAlignment w:val="auto"/>
              <w:rPr>
                <w:rFonts w:hint="eastAsia"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vertAlign w:val="baseline"/>
                <w:lang w:val="en-US" w:eastAsia="zh-CN"/>
              </w:rPr>
              <w:drawing>
                <wp:inline distT="0" distB="0" distL="114300" distR="114300">
                  <wp:extent cx="914400" cy="914400"/>
                  <wp:effectExtent l="0" t="0" r="0" b="0"/>
                  <wp:docPr id="192" name="图片 192" descr="32313539323535323b32313539323534313bc0bac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32313539323535323b32313539323534313bc0bac7f2"/>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0"/>
                            <a:ext cx="914400" cy="914400"/>
                          </a:xfrm>
                          <a:prstGeom prst="rect">
                            <a:avLst/>
                          </a:prstGeom>
                        </pic:spPr>
                      </pic:pic>
                    </a:graphicData>
                  </a:graphic>
                </wp:inline>
              </w:drawing>
            </w:r>
            <w:r>
              <w:rPr>
                <w:rFonts w:ascii="Times New Roman" w:hAnsi="Times New Roman" w:eastAsia="宋体" w:cs="宋体"/>
                <w:b w:val="0"/>
                <w:color w:val="000000"/>
                <w:sz w:val="24"/>
                <w:u w:color="auto"/>
              </w:rPr>
              <w:br w:type="page"/>
            </w:r>
            <w:r>
              <w:rPr>
                <w:rFonts w:ascii="Times New Roman" w:hAnsi="Times New Roman" w:eastAsia="宋体" w:cs="宋体"/>
                <w:b w:val="0"/>
                <w:color w:val="000000"/>
                <w:sz w:val="24"/>
                <w:u w:color="auto"/>
              </w:rPr>
              <w:br w:type="page"/>
            </w:r>
            <w:r>
              <w:rPr>
                <w:rFonts w:ascii="Times New Roman" w:hAnsi="Times New Roman" w:eastAsia="宋体" w:cs="宋体"/>
                <w:b w:val="0"/>
                <w:color w:val="000000"/>
                <w:sz w:val="24"/>
                <w:u w:color="auto"/>
              </w:rPr>
              <w:br w:type="page"/>
            </w:r>
          </w:p>
        </w:tc>
        <w:tc>
          <w:tcPr>
            <w:tcW w:w="2993"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eastAsia"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vertAlign w:val="baseline"/>
                <w:lang w:val="en-US" w:eastAsia="zh-CN"/>
              </w:rPr>
              <w:drawing>
                <wp:inline distT="0" distB="0" distL="114300" distR="114300">
                  <wp:extent cx="914400" cy="914400"/>
                  <wp:effectExtent l="0" t="0" r="0" b="0"/>
                  <wp:docPr id="250" name="图片 250" descr="32313535373339373b32313535373431343bd2f4c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32313535373339373b32313535373431343bd2f4c0d6"/>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inline>
              </w:drawing>
            </w:r>
          </w:p>
        </w:tc>
        <w:tc>
          <w:tcPr>
            <w:tcW w:w="2993"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eastAsia"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vertAlign w:val="baseline"/>
                <w:lang w:val="en-US" w:eastAsia="zh-CN"/>
              </w:rPr>
              <w:drawing>
                <wp:inline distT="0" distB="0" distL="114300" distR="114300">
                  <wp:extent cx="914400" cy="914400"/>
                  <wp:effectExtent l="0" t="0" r="0" b="0"/>
                  <wp:docPr id="248" name="图片 248" descr="343632353233363b343632353238353bcdf8c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343632353233363b343632353238353bcdf8c2e7"/>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0" y="0"/>
                            <a:ext cx="914400" cy="9144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3326"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default"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rPr>
              <w:t>运动场及体育设备</w:t>
            </w:r>
            <w:r>
              <w:rPr>
                <w:rFonts w:hint="eastAsia" w:ascii="Times New Roman" w:hAnsi="Times New Roman" w:eastAsia="宋体"/>
                <w:sz w:val="22"/>
                <w:szCs w:val="22"/>
                <w:highlight w:val="none"/>
                <w:lang w:val="en-US" w:eastAsia="zh-CN"/>
              </w:rPr>
              <w:t>:</w:t>
            </w:r>
            <w:r>
              <w:rPr>
                <w:rFonts w:hint="eastAsia" w:eastAsia="宋体"/>
                <w:sz w:val="22"/>
                <w:szCs w:val="22"/>
                <w:highlight w:val="none"/>
                <w:lang w:val="en-US" w:eastAsia="zh-CN"/>
              </w:rPr>
              <w:t>94.71</w:t>
            </w:r>
            <w:r>
              <w:rPr>
                <w:rFonts w:hint="eastAsia" w:ascii="Times New Roman" w:hAnsi="Times New Roman" w:eastAsia="宋体"/>
                <w:sz w:val="22"/>
                <w:szCs w:val="22"/>
                <w:highlight w:val="none"/>
                <w:lang w:val="en-US" w:eastAsia="zh-CN"/>
              </w:rPr>
              <w:t>%</w:t>
            </w:r>
          </w:p>
        </w:tc>
        <w:tc>
          <w:tcPr>
            <w:tcW w:w="2993"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default"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rPr>
              <w:t>艺术场馆</w:t>
            </w:r>
            <w:r>
              <w:rPr>
                <w:rFonts w:hint="eastAsia" w:ascii="Times New Roman" w:hAnsi="Times New Roman" w:eastAsia="宋体"/>
                <w:sz w:val="22"/>
                <w:szCs w:val="22"/>
                <w:highlight w:val="none"/>
                <w:lang w:val="en-US" w:eastAsia="zh-CN"/>
              </w:rPr>
              <w:t>:</w:t>
            </w:r>
            <w:r>
              <w:rPr>
                <w:rFonts w:hint="eastAsia" w:eastAsia="宋体"/>
                <w:sz w:val="22"/>
                <w:szCs w:val="22"/>
                <w:highlight w:val="none"/>
                <w:lang w:val="en-US" w:eastAsia="zh-CN"/>
              </w:rPr>
              <w:t>94.71</w:t>
            </w:r>
            <w:r>
              <w:rPr>
                <w:rFonts w:hint="eastAsia" w:ascii="Times New Roman" w:hAnsi="Times New Roman" w:eastAsia="宋体"/>
                <w:sz w:val="22"/>
                <w:szCs w:val="22"/>
                <w:highlight w:val="none"/>
                <w:lang w:val="en-US" w:eastAsia="zh-CN"/>
              </w:rPr>
              <w:t>%</w:t>
            </w:r>
          </w:p>
        </w:tc>
        <w:tc>
          <w:tcPr>
            <w:tcW w:w="2993"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eastAsia"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rPr>
              <w:t>校园网等信息化设备</w:t>
            </w:r>
            <w:r>
              <w:rPr>
                <w:rFonts w:hint="eastAsia" w:ascii="Times New Roman" w:hAnsi="Times New Roman" w:eastAsia="宋体"/>
                <w:sz w:val="22"/>
                <w:szCs w:val="22"/>
                <w:highlight w:val="none"/>
                <w:lang w:val="en-US" w:eastAsia="zh-CN"/>
              </w:rPr>
              <w:t>:</w:t>
            </w:r>
            <w:r>
              <w:rPr>
                <w:rFonts w:hint="eastAsia" w:eastAsia="宋体"/>
                <w:sz w:val="22"/>
                <w:szCs w:val="22"/>
                <w:highlight w:val="none"/>
                <w:lang w:val="en-US" w:eastAsia="zh-CN"/>
              </w:rPr>
              <w:t>94.94</w:t>
            </w:r>
            <w:r>
              <w:rPr>
                <w:rFonts w:hint="eastAsia" w:ascii="Times New Roman" w:hAnsi="Times New Roman" w:eastAsia="宋体"/>
                <w:sz w:val="22"/>
                <w:szCs w:val="22"/>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trPr>
        <w:tc>
          <w:tcPr>
            <w:tcW w:w="3326"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eastAsia"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vertAlign w:val="baseline"/>
                <w:lang w:val="en-US" w:eastAsia="zh-CN"/>
              </w:rPr>
              <w:drawing>
                <wp:inline distT="0" distB="0" distL="114300" distR="114300">
                  <wp:extent cx="914400" cy="914400"/>
                  <wp:effectExtent l="0" t="0" r="0" b="0"/>
                  <wp:docPr id="246" name="图片 246" descr="32313536333835363b32313536333834353bcab5d1e9c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32313536333835363b32313536333834353bcab5d1e9cad2"/>
                          <pic:cNvPicPr>
                            <a:picLocks noChangeAspect="1"/>
                          </pic:cNvPicPr>
                        </pic:nvPicPr>
                        <pic:blipFill>
                          <a:blip r:embed="rId120">
                            <a:extLst>
                              <a:ext uri="{96DAC541-7B7A-43D3-8B79-37D633B846F1}">
                                <asvg:svgBlip xmlns:asvg="http://schemas.microsoft.com/office/drawing/2016/SVG/main" r:embed="rId121"/>
                              </a:ext>
                            </a:extLst>
                          </a:blip>
                          <a:stretch>
                            <a:fillRect/>
                          </a:stretch>
                        </pic:blipFill>
                        <pic:spPr>
                          <a:xfrm>
                            <a:off x="0" y="0"/>
                            <a:ext cx="914400" cy="914400"/>
                          </a:xfrm>
                          <a:prstGeom prst="rect">
                            <a:avLst/>
                          </a:prstGeom>
                        </pic:spPr>
                      </pic:pic>
                    </a:graphicData>
                  </a:graphic>
                </wp:inline>
              </w:drawing>
            </w:r>
          </w:p>
        </w:tc>
        <w:tc>
          <w:tcPr>
            <w:tcW w:w="2993"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eastAsia"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vertAlign w:val="baseline"/>
                <w:lang w:val="en-US" w:eastAsia="zh-CN"/>
              </w:rPr>
              <w:drawing>
                <wp:inline distT="0" distB="0" distL="114300" distR="114300">
                  <wp:extent cx="914400" cy="914400"/>
                  <wp:effectExtent l="0" t="0" r="0" b="0"/>
                  <wp:docPr id="245" name="图片 245" descr="32313534343235343b32313534343236333bbdccc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32313534343235343b32313534343236333bbdcccad2"/>
                          <pic:cNvPicPr>
                            <a:picLocks noChangeAspect="1"/>
                          </pic:cNvPicPr>
                        </pic:nvPicPr>
                        <pic:blipFill>
                          <a:blip r:embed="rId122">
                            <a:extLst>
                              <a:ext uri="{96DAC541-7B7A-43D3-8B79-37D633B846F1}">
                                <asvg:svgBlip xmlns:asvg="http://schemas.microsoft.com/office/drawing/2016/SVG/main" r:embed="rId123"/>
                              </a:ext>
                            </a:extLst>
                          </a:blip>
                          <a:stretch>
                            <a:fillRect/>
                          </a:stretch>
                        </pic:blipFill>
                        <pic:spPr>
                          <a:xfrm>
                            <a:off x="0" y="0"/>
                            <a:ext cx="914400" cy="914400"/>
                          </a:xfrm>
                          <a:prstGeom prst="rect">
                            <a:avLst/>
                          </a:prstGeom>
                        </pic:spPr>
                      </pic:pic>
                    </a:graphicData>
                  </a:graphic>
                </wp:inline>
              </w:drawing>
            </w:r>
          </w:p>
        </w:tc>
        <w:tc>
          <w:tcPr>
            <w:tcW w:w="2993"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eastAsia"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vertAlign w:val="baseline"/>
                <w:lang w:val="en-US" w:eastAsia="zh-CN"/>
              </w:rPr>
              <w:drawing>
                <wp:inline distT="0" distB="0" distL="114300" distR="114300">
                  <wp:extent cx="914400" cy="914400"/>
                  <wp:effectExtent l="0" t="0" r="0" b="0"/>
                  <wp:docPr id="247" name="图片 247" descr="32303138313336353b32303230373430303bcdbccae9b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32303138313336353b32303230373430303bcdbccae9b9dd"/>
                          <pic:cNvPicPr>
                            <a:picLocks noChangeAspect="1"/>
                          </pic:cNvPicPr>
                        </pic:nvPicPr>
                        <pic:blipFill>
                          <a:blip r:embed="rId124">
                            <a:extLst>
                              <a:ext uri="{96DAC541-7B7A-43D3-8B79-37D633B846F1}">
                                <asvg:svgBlip xmlns:asvg="http://schemas.microsoft.com/office/drawing/2016/SVG/main" r:embed="rId125"/>
                              </a:ext>
                            </a:extLst>
                          </a:blip>
                          <a:stretch>
                            <a:fillRect/>
                          </a:stretch>
                        </pic:blipFill>
                        <pic:spPr>
                          <a:xfrm>
                            <a:off x="0" y="0"/>
                            <a:ext cx="914400" cy="9144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3326"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eastAsia"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rPr>
              <w:t>实验室及相关设备</w:t>
            </w:r>
            <w:r>
              <w:rPr>
                <w:rFonts w:hint="eastAsia" w:ascii="Times New Roman" w:hAnsi="Times New Roman" w:eastAsia="宋体"/>
                <w:sz w:val="22"/>
                <w:szCs w:val="22"/>
                <w:highlight w:val="none"/>
                <w:lang w:val="en-US" w:eastAsia="zh-CN"/>
              </w:rPr>
              <w:t>:</w:t>
            </w:r>
            <w:r>
              <w:rPr>
                <w:rFonts w:hint="eastAsia" w:eastAsia="宋体"/>
                <w:sz w:val="22"/>
                <w:szCs w:val="22"/>
                <w:highlight w:val="none"/>
                <w:lang w:val="en-US" w:eastAsia="zh-CN"/>
              </w:rPr>
              <w:t>95.19</w:t>
            </w:r>
            <w:r>
              <w:rPr>
                <w:rFonts w:hint="eastAsia" w:ascii="Times New Roman" w:hAnsi="Times New Roman" w:eastAsia="宋体"/>
                <w:sz w:val="22"/>
                <w:szCs w:val="22"/>
                <w:highlight w:val="none"/>
                <w:lang w:val="en-US" w:eastAsia="zh-CN"/>
              </w:rPr>
              <w:t>%</w:t>
            </w:r>
          </w:p>
        </w:tc>
        <w:tc>
          <w:tcPr>
            <w:tcW w:w="2993"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eastAsia"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rPr>
              <w:t>教室及教学设备</w:t>
            </w:r>
            <w:r>
              <w:rPr>
                <w:rFonts w:hint="eastAsia" w:ascii="Times New Roman" w:hAnsi="Times New Roman" w:eastAsia="宋体"/>
                <w:sz w:val="22"/>
                <w:szCs w:val="22"/>
                <w:highlight w:val="none"/>
                <w:lang w:val="en-US" w:eastAsia="zh-CN"/>
              </w:rPr>
              <w:t>:</w:t>
            </w:r>
            <w:r>
              <w:rPr>
                <w:rFonts w:hint="eastAsia" w:eastAsia="宋体"/>
                <w:sz w:val="22"/>
                <w:szCs w:val="22"/>
                <w:highlight w:val="none"/>
                <w:lang w:val="en-US" w:eastAsia="zh-CN"/>
              </w:rPr>
              <w:t>95.58</w:t>
            </w:r>
            <w:r>
              <w:rPr>
                <w:rFonts w:hint="eastAsia" w:ascii="Times New Roman" w:hAnsi="Times New Roman" w:eastAsia="宋体"/>
                <w:sz w:val="22"/>
                <w:szCs w:val="22"/>
                <w:highlight w:val="none"/>
                <w:lang w:val="en-US" w:eastAsia="zh-CN"/>
              </w:rPr>
              <w:t>%</w:t>
            </w:r>
          </w:p>
        </w:tc>
        <w:tc>
          <w:tcPr>
            <w:tcW w:w="2993" w:type="dxa"/>
            <w:tcBorders>
              <w:tl2br w:val="nil"/>
              <w:tr2bl w:val="nil"/>
            </w:tcBorders>
            <w:vAlign w:val="center"/>
          </w:tcPr>
          <w:p>
            <w:pPr>
              <w:pStyle w:val="23"/>
              <w:keepNext w:val="0"/>
              <w:keepLines w:val="0"/>
              <w:suppressLineNumbers w:val="0"/>
              <w:bidi w:val="0"/>
              <w:spacing w:beforeAutospacing="0" w:afterAutospacing="0"/>
              <w:ind w:left="0" w:leftChars="0" w:right="0" w:firstLine="0" w:firstLineChars="0"/>
              <w:jc w:val="center"/>
              <w:rPr>
                <w:rFonts w:hint="eastAsia" w:ascii="Times New Roman" w:hAnsi="Times New Roman" w:eastAsia="宋体"/>
                <w:sz w:val="22"/>
                <w:szCs w:val="22"/>
                <w:highlight w:val="none"/>
                <w:vertAlign w:val="baseline"/>
                <w:lang w:val="en-US" w:eastAsia="zh-CN"/>
              </w:rPr>
            </w:pPr>
            <w:r>
              <w:rPr>
                <w:rFonts w:hint="eastAsia" w:ascii="Times New Roman" w:hAnsi="Times New Roman" w:eastAsia="宋体"/>
                <w:sz w:val="22"/>
                <w:szCs w:val="22"/>
                <w:highlight w:val="none"/>
              </w:rPr>
              <w:t>图书馆及相关资料</w:t>
            </w:r>
            <w:r>
              <w:rPr>
                <w:rFonts w:hint="eastAsia" w:ascii="Times New Roman" w:hAnsi="Times New Roman" w:eastAsia="宋体"/>
                <w:sz w:val="22"/>
                <w:szCs w:val="22"/>
                <w:highlight w:val="none"/>
                <w:lang w:val="en-US" w:eastAsia="zh-CN"/>
              </w:rPr>
              <w:t>:</w:t>
            </w:r>
            <w:r>
              <w:rPr>
                <w:rFonts w:hint="eastAsia" w:eastAsia="宋体"/>
                <w:sz w:val="22"/>
                <w:szCs w:val="22"/>
                <w:highlight w:val="none"/>
                <w:lang w:val="en-US" w:eastAsia="zh-CN"/>
              </w:rPr>
              <w:t>95.67</w:t>
            </w:r>
            <w:r>
              <w:rPr>
                <w:rFonts w:hint="eastAsia" w:ascii="Times New Roman" w:hAnsi="Times New Roman" w:eastAsia="宋体"/>
                <w:sz w:val="22"/>
                <w:szCs w:val="22"/>
                <w:highlight w:val="none"/>
                <w:lang w:val="en-US" w:eastAsia="zh-CN"/>
              </w:rPr>
              <w:t>%</w:t>
            </w:r>
          </w:p>
        </w:tc>
      </w:tr>
    </w:tbl>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图7-12  2023届毕业生对教学设施的评价</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78"/>
        </w:numPr>
        <w:shd w:val="clear" w:color="auto" w:fill="FFFFFF"/>
        <w:spacing w:before="15" w:after="15" w:line="360" w:lineRule="auto"/>
        <w:jc w:val="left"/>
        <w:outlineLvl w:val="1"/>
        <w:rPr>
          <w:rFonts w:hint="default" w:ascii="Times New Roman" w:hAnsi="Times New Roman" w:cs="Times New Roman"/>
          <w:highlight w:val="none"/>
        </w:rPr>
      </w:pPr>
      <w:bookmarkStart w:id="94" w:name="_Toc22319"/>
      <w:r>
        <w:rPr>
          <w:rFonts w:hint="default" w:ascii="Times New Roman" w:hAnsi="Times New Roman" w:eastAsia="黑体" w:cs="Times New Roman"/>
          <w:b/>
          <w:color w:val="0F6FC6"/>
          <w:sz w:val="30"/>
          <w:highlight w:val="none"/>
          <w:u w:color="auto"/>
        </w:rPr>
        <w:t>十一、对就业/创业教育及服务的参与度和满意度评价</w:t>
      </w:r>
      <w:bookmarkEnd w:id="9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b w:val="0"/>
          <w:color w:val="000000"/>
          <w:sz w:val="24"/>
          <w:highlight w:val="none"/>
          <w:u w:color="auto"/>
        </w:rPr>
        <w:t>调查了解毕业生对学校就业/创业教育及服务的满意度，了解毕业生对学校就业工作的总体评价和认可程度，深化教育教学改革，提高人才培养质量，适应社会发展需要，促进大学生充分就业，增强服务意识，提升服务质量。</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b w:val="0"/>
          <w:color w:val="000000"/>
          <w:sz w:val="24"/>
          <w:highlight w:val="none"/>
          <w:u w:color="auto"/>
        </w:rPr>
        <w:t>学校2023届毕业生对学校各项</w:t>
      </w:r>
      <w:r>
        <w:rPr>
          <w:rFonts w:hint="eastAsia" w:cs="Times New Roman"/>
          <w:b w:val="0"/>
          <w:color w:val="000000"/>
          <w:sz w:val="24"/>
          <w:highlight w:val="none"/>
          <w:u w:color="auto"/>
          <w:lang w:eastAsia="zh-CN"/>
        </w:rPr>
        <w:t>就业/创业教育及服务</w:t>
      </w:r>
      <w:r>
        <w:rPr>
          <w:rFonts w:hint="default" w:ascii="Times New Roman" w:hAnsi="Times New Roman" w:eastAsia="宋体" w:cs="Times New Roman"/>
          <w:b w:val="0"/>
          <w:color w:val="000000"/>
          <w:sz w:val="24"/>
          <w:highlight w:val="none"/>
          <w:u w:color="auto"/>
        </w:rPr>
        <w:t>的参与度均在</w:t>
      </w:r>
      <w:r>
        <w:rPr>
          <w:rFonts w:hint="eastAsia" w:cs="Times New Roman"/>
          <w:b w:val="0"/>
          <w:color w:val="000000"/>
          <w:sz w:val="24"/>
          <w:highlight w:val="none"/>
          <w:u w:color="auto"/>
          <w:lang w:val="en-US" w:eastAsia="zh-CN"/>
        </w:rPr>
        <w:t>48.24</w:t>
      </w:r>
      <w:r>
        <w:rPr>
          <w:rFonts w:hint="default" w:ascii="Times New Roman" w:hAnsi="Times New Roman" w:eastAsia="宋体" w:cs="Times New Roman"/>
          <w:b w:val="0"/>
          <w:color w:val="000000"/>
          <w:sz w:val="24"/>
          <w:highlight w:val="none"/>
          <w:u w:color="auto"/>
        </w:rPr>
        <w:t>%及以上，满意度均在</w:t>
      </w:r>
      <w:r>
        <w:rPr>
          <w:rFonts w:hint="eastAsia" w:cs="Times New Roman"/>
          <w:b w:val="0"/>
          <w:color w:val="000000"/>
          <w:sz w:val="24"/>
          <w:highlight w:val="none"/>
          <w:u w:color="auto"/>
          <w:lang w:val="en-US" w:eastAsia="zh-CN"/>
        </w:rPr>
        <w:t>90.22</w:t>
      </w:r>
      <w:r>
        <w:rPr>
          <w:rFonts w:hint="default" w:ascii="Times New Roman" w:hAnsi="Times New Roman" w:eastAsia="宋体" w:cs="Times New Roman"/>
          <w:b w:val="0"/>
          <w:color w:val="000000"/>
          <w:sz w:val="24"/>
          <w:highlight w:val="none"/>
          <w:u w:color="auto"/>
        </w:rPr>
        <w:t>%及以上</w:t>
      </w:r>
      <w:r>
        <w:rPr>
          <w:rFonts w:hint="eastAsia"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其中参与度</w:t>
      </w:r>
      <w:r>
        <w:rPr>
          <w:rFonts w:hint="eastAsia" w:cs="Times New Roman"/>
          <w:b w:val="0"/>
          <w:color w:val="000000"/>
          <w:sz w:val="24"/>
          <w:highlight w:val="none"/>
          <w:u w:color="auto"/>
          <w:lang w:val="en-US" w:eastAsia="zh-CN"/>
        </w:rPr>
        <w:t>和满意度</w:t>
      </w:r>
      <w:r>
        <w:rPr>
          <w:rFonts w:hint="default" w:ascii="Times New Roman" w:hAnsi="Times New Roman" w:eastAsia="宋体" w:cs="Times New Roman"/>
          <w:b w:val="0"/>
          <w:color w:val="000000"/>
          <w:sz w:val="24"/>
          <w:highlight w:val="none"/>
          <w:u w:color="auto"/>
        </w:rPr>
        <w:t>最高的三方面</w:t>
      </w:r>
      <w:r>
        <w:rPr>
          <w:rFonts w:hint="eastAsia" w:cs="Times New Roman"/>
          <w:b w:val="0"/>
          <w:color w:val="000000"/>
          <w:sz w:val="24"/>
          <w:highlight w:val="none"/>
          <w:u w:color="auto"/>
          <w:lang w:val="en-US" w:eastAsia="zh-CN"/>
        </w:rPr>
        <w:t>均</w:t>
      </w:r>
      <w:r>
        <w:rPr>
          <w:rFonts w:hint="default" w:ascii="Times New Roman" w:hAnsi="Times New Roman" w:eastAsia="宋体" w:cs="Times New Roman"/>
          <w:b w:val="0"/>
          <w:color w:val="000000"/>
          <w:sz w:val="24"/>
          <w:highlight w:val="none"/>
          <w:u w:color="auto"/>
        </w:rPr>
        <w:t>是</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查看学校发布招聘信息</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校园招聘会与宣讲会</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和</w:t>
      </w:r>
      <w:r>
        <w:rPr>
          <w:rFonts w:hint="eastAsia" w:eastAsia="宋体" w:cs="Times New Roman"/>
          <w:b w:val="0"/>
          <w:color w:val="000000"/>
          <w:sz w:val="24"/>
          <w:highlight w:val="none"/>
          <w:u w:color="auto"/>
          <w:lang w:eastAsia="zh-CN"/>
        </w:rPr>
        <w:t>“</w:t>
      </w:r>
      <w:r>
        <w:rPr>
          <w:rFonts w:hint="eastAsia" w:cs="Times New Roman"/>
          <w:b w:val="0"/>
          <w:color w:val="000000"/>
          <w:sz w:val="24"/>
          <w:highlight w:val="none"/>
          <w:u w:color="auto"/>
          <w:lang w:val="en-US" w:eastAsia="zh-CN"/>
        </w:rPr>
        <w:t>生涯规划与就业指导课。</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一方面表明学校就业</w:t>
      </w:r>
      <w:r>
        <w:rPr>
          <w:rFonts w:hint="eastAsia" w:cs="Times New Roman"/>
          <w:b w:val="0"/>
          <w:color w:val="000000"/>
          <w:sz w:val="24"/>
          <w:highlight w:val="none"/>
          <w:u w:color="auto"/>
          <w:lang w:val="en-US" w:eastAsia="zh-CN"/>
        </w:rPr>
        <w:t>/创业</w:t>
      </w:r>
      <w:r>
        <w:rPr>
          <w:rFonts w:hint="default" w:ascii="Times New Roman" w:hAnsi="Times New Roman" w:eastAsia="宋体" w:cs="Times New Roman"/>
          <w:b w:val="0"/>
          <w:color w:val="000000"/>
          <w:sz w:val="24"/>
          <w:highlight w:val="none"/>
          <w:u w:color="auto"/>
        </w:rPr>
        <w:t>指导服务工作得到了毕业生的认可；另一方面也体现了学校就业</w:t>
      </w:r>
      <w:r>
        <w:rPr>
          <w:rFonts w:hint="eastAsia" w:cs="Times New Roman"/>
          <w:b w:val="0"/>
          <w:color w:val="000000"/>
          <w:sz w:val="24"/>
          <w:highlight w:val="none"/>
          <w:u w:color="auto"/>
          <w:lang w:val="en-US" w:eastAsia="zh-CN"/>
        </w:rPr>
        <w:t>/创业</w:t>
      </w:r>
      <w:r>
        <w:rPr>
          <w:rFonts w:hint="default" w:ascii="Times New Roman" w:hAnsi="Times New Roman" w:eastAsia="宋体" w:cs="Times New Roman"/>
          <w:b w:val="0"/>
          <w:color w:val="000000"/>
          <w:sz w:val="24"/>
          <w:highlight w:val="none"/>
          <w:u w:color="auto"/>
        </w:rPr>
        <w:t>工作在促进毕业生顺利就业、高质量就业中所发挥的重要作用。</w:t>
      </w:r>
    </w:p>
    <w:p>
      <w:pPr>
        <w:jc w:val="center"/>
        <w:rPr>
          <w:rFonts w:hint="eastAsia" w:ascii="Times New Roman" w:hAnsi="Times New Roman" w:eastAsia="宋体" w:cs="Times New Roman"/>
          <w:sz w:val="21"/>
          <w:lang w:eastAsia="zh-CN"/>
        </w:rPr>
      </w:pPr>
      <w:r>
        <w:rPr>
          <w:rFonts w:hint="eastAsia" w:ascii="Times New Roman" w:hAnsi="Times New Roman" w:eastAsia="宋体" w:cs="Times New Roman"/>
          <w:lang w:eastAsia="zh-CN"/>
        </w:rPr>
        <w:drawing>
          <wp:inline distT="0" distB="0" distL="114300" distR="114300">
            <wp:extent cx="5256530" cy="5400040"/>
            <wp:effectExtent l="0" t="0" r="1270" b="10160"/>
            <wp:docPr id="113" name="图表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图7-13  2023届毕业生对就业/创业教育及服务的参与度</w:t>
      </w:r>
      <w:r>
        <w:rPr>
          <w:rFonts w:hint="eastAsia" w:cs="Times New Roman"/>
          <w:b/>
          <w:color w:val="0F6FC6"/>
          <w:sz w:val="21"/>
          <w:u w:color="auto"/>
          <w:lang w:val="en-US" w:eastAsia="zh-CN"/>
        </w:rPr>
        <w:t>和满意度</w:t>
      </w:r>
      <w:r>
        <w:rPr>
          <w:rFonts w:hint="default" w:ascii="Times New Roman" w:hAnsi="Times New Roman" w:eastAsia="宋体" w:cs="Times New Roman"/>
          <w:b/>
          <w:color w:val="0F6FC6"/>
          <w:sz w:val="21"/>
          <w:u w:color="auto"/>
        </w:rPr>
        <w:t>评价（单位：%）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pageBreakBefore/>
        <w:numPr>
          <w:ilvl w:val="0"/>
          <w:numId w:val="79"/>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hint="default" w:ascii="Times New Roman" w:hAnsi="Times New Roman" w:cs="Times New Roman"/>
        </w:rPr>
      </w:pPr>
      <w:bookmarkStart w:id="95" w:name="_Toc28002"/>
      <w:r>
        <w:rPr>
          <w:rFonts w:hint="default" w:ascii="Times New Roman" w:hAnsi="Times New Roman" w:eastAsia="黑体" w:cs="Times New Roman"/>
          <w:b/>
          <w:color w:val="FFFFFF"/>
          <w:sz w:val="36"/>
          <w:u w:color="auto"/>
        </w:rPr>
        <w:t>PART 08 用人单位评价</w:t>
      </w:r>
      <w:bookmarkEnd w:id="95"/>
    </w:p>
    <w:p>
      <w:pPr>
        <w:rPr>
          <w:rFonts w:hint="default" w:ascii="Times New Roman" w:hAnsi="Times New Roman" w:cs="Times New Roman"/>
        </w:rPr>
      </w:pPr>
      <w:r>
        <w:rPr>
          <w:rFonts w:hint="default" w:ascii="Times New Roman" w:hAnsi="Times New Roman" w:cs="Times New Roman"/>
        </w:rPr>
        <w:t>
</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将本校毕业生质量测量的主体放到用人单位身上，能够比较真实地反映毕业生的质量，进而更加全面地反映学校人才培养过程中存在的问题。因此，为实现供需畅通对接，更加客观全面地认识学校人才培养的质量及存在的问题，学校建立了毕业生质量外部测评体系，结合调研内容需求，研发设计了用人单位调研问卷，邀请录用过本校毕业生且密切合作的用人单位进行调研。调研内容主要包括对毕业生的评价、对学校招聘服务的评价等方面。</w:t>
      </w:r>
    </w:p>
    <w:p>
      <w:pPr>
        <w:numPr>
          <w:ilvl w:val="1"/>
          <w:numId w:val="80"/>
        </w:numPr>
        <w:shd w:val="clear" w:color="auto" w:fill="FFFFFF"/>
        <w:spacing w:before="15" w:after="15" w:line="360" w:lineRule="auto"/>
        <w:jc w:val="left"/>
        <w:outlineLvl w:val="1"/>
        <w:rPr>
          <w:rFonts w:hint="default" w:ascii="Times New Roman" w:hAnsi="Times New Roman" w:cs="Times New Roman"/>
        </w:rPr>
      </w:pPr>
      <w:bookmarkStart w:id="96" w:name="_Toc9092"/>
      <w:r>
        <w:rPr>
          <w:rFonts w:hint="default" w:ascii="Times New Roman" w:hAnsi="Times New Roman" w:eastAsia="黑体" w:cs="Times New Roman"/>
          <w:b/>
          <w:color w:val="0F6FC6"/>
          <w:sz w:val="28"/>
          <w:u w:color="auto"/>
        </w:rPr>
        <w:t>一、招聘学校毕业生的基本情况</w:t>
      </w:r>
      <w:bookmarkEnd w:id="96"/>
    </w:p>
    <w:p>
      <w:pPr>
        <w:numPr>
          <w:ilvl w:val="2"/>
          <w:numId w:val="81"/>
        </w:numPr>
        <w:shd w:val="clear" w:color="auto" w:fill="FFFFFF"/>
        <w:spacing w:before="15" w:after="15" w:line="360" w:lineRule="auto"/>
        <w:jc w:val="left"/>
        <w:outlineLvl w:val="2"/>
        <w:rPr>
          <w:rFonts w:hint="default" w:ascii="Times New Roman" w:hAnsi="Times New Roman" w:cs="Times New Roman"/>
        </w:rPr>
      </w:pPr>
      <w:bookmarkStart w:id="97" w:name="_Toc11103"/>
      <w:r>
        <w:rPr>
          <w:rFonts w:hint="default" w:ascii="Times New Roman" w:hAnsi="Times New Roman" w:eastAsia="黑体" w:cs="Times New Roman"/>
          <w:b/>
          <w:color w:val="0F6FC6"/>
          <w:sz w:val="28"/>
          <w:u w:color="auto"/>
        </w:rPr>
        <w:t>（一）招聘人数</w:t>
      </w:r>
      <w:bookmarkEnd w:id="9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b w:val="0"/>
          <w:color w:val="000000"/>
          <w:sz w:val="24"/>
          <w:highlight w:val="none"/>
          <w:u w:color="auto"/>
        </w:rPr>
        <w:t>未来几年，用人单位预计招聘学校毕业生的人数主要集中在</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10人及以下</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（51.</w:t>
      </w:r>
      <w:r>
        <w:rPr>
          <w:rFonts w:hint="eastAsia" w:cs="Times New Roman"/>
          <w:b w:val="0"/>
          <w:color w:val="000000"/>
          <w:sz w:val="24"/>
          <w:highlight w:val="none"/>
          <w:u w:color="auto"/>
          <w:lang w:val="en-US" w:eastAsia="zh-CN"/>
        </w:rPr>
        <w:t>63</w:t>
      </w:r>
      <w:r>
        <w:rPr>
          <w:rFonts w:hint="default" w:ascii="Times New Roman" w:hAnsi="Times New Roman" w:eastAsia="宋体" w:cs="Times New Roman"/>
          <w:b w:val="0"/>
          <w:color w:val="000000"/>
          <w:sz w:val="24"/>
          <w:highlight w:val="none"/>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109720" cy="2625725"/>
            <wp:effectExtent l="0" t="0" r="5080" b="3175"/>
            <wp:docPr id="56"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图8-1  用人单位未来招聘学校毕业生的人数（单位：%）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82"/>
        </w:numPr>
        <w:shd w:val="clear" w:color="auto" w:fill="FFFFFF"/>
        <w:spacing w:before="15" w:after="15" w:line="360" w:lineRule="auto"/>
        <w:jc w:val="left"/>
        <w:outlineLvl w:val="2"/>
        <w:rPr>
          <w:rFonts w:hint="default" w:ascii="Times New Roman" w:hAnsi="Times New Roman" w:cs="Times New Roman"/>
        </w:rPr>
      </w:pPr>
      <w:bookmarkStart w:id="98" w:name="_Toc6075"/>
      <w:r>
        <w:rPr>
          <w:rFonts w:hint="default" w:ascii="Times New Roman" w:hAnsi="Times New Roman" w:eastAsia="黑体" w:cs="Times New Roman"/>
          <w:b/>
          <w:color w:val="0F6FC6"/>
          <w:sz w:val="28"/>
          <w:u w:color="auto"/>
        </w:rPr>
        <w:t>（二）招聘岗位和时间</w:t>
      </w:r>
      <w:bookmarkEnd w:id="9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未来几年，用人单位预计招聘岗位主要集中</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基层工作人员</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（61.</w:t>
      </w:r>
      <w:r>
        <w:rPr>
          <w:rFonts w:hint="eastAsia" w:cs="Times New Roman"/>
          <w:b w:val="0"/>
          <w:color w:val="000000"/>
          <w:sz w:val="24"/>
          <w:u w:color="auto"/>
          <w:lang w:val="en-US" w:eastAsia="zh-CN"/>
        </w:rPr>
        <w:t>4</w:t>
      </w:r>
      <w:r>
        <w:rPr>
          <w:rFonts w:hint="default" w:ascii="Times New Roman" w:hAnsi="Times New Roman" w:eastAsia="宋体" w:cs="Times New Roman"/>
          <w:b w:val="0"/>
          <w:color w:val="000000"/>
          <w:sz w:val="24"/>
          <w:u w:color="auto"/>
        </w:rPr>
        <w:t>4%），单位招聘时间主要集中在</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毕业前三个月</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（5</w:t>
      </w:r>
      <w:r>
        <w:rPr>
          <w:rFonts w:hint="eastAsia" w:cs="Times New Roman"/>
          <w:b w:val="0"/>
          <w:color w:val="000000"/>
          <w:sz w:val="24"/>
          <w:u w:color="auto"/>
          <w:lang w:val="en-US" w:eastAsia="zh-CN"/>
        </w:rPr>
        <w:t>8.17</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22140" cy="3060700"/>
            <wp:effectExtent l="0" t="0" r="16510" b="6350"/>
            <wp:docPr id="57"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图8-2  用人单位未来招聘岗位（单位：%）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3700780" cy="1893570"/>
            <wp:effectExtent l="0" t="0" r="13970" b="11430"/>
            <wp:docPr id="58"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图8-3  用人单位未来招聘时间（单位：%）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83"/>
        </w:numPr>
        <w:shd w:val="clear" w:color="auto" w:fill="FFFFFF"/>
        <w:spacing w:before="15" w:after="15" w:line="360" w:lineRule="auto"/>
        <w:jc w:val="left"/>
        <w:outlineLvl w:val="2"/>
        <w:rPr>
          <w:rFonts w:hint="default" w:ascii="Times New Roman" w:hAnsi="Times New Roman" w:cs="Times New Roman"/>
        </w:rPr>
      </w:pPr>
      <w:bookmarkStart w:id="99" w:name="_Toc32464"/>
      <w:r>
        <w:rPr>
          <w:rFonts w:hint="default" w:ascii="Times New Roman" w:hAnsi="Times New Roman" w:eastAsia="黑体" w:cs="Times New Roman"/>
          <w:b/>
          <w:color w:val="0F6FC6"/>
          <w:sz w:val="28"/>
          <w:u w:color="auto"/>
        </w:rPr>
        <w:t>（三）招聘需求和意愿</w:t>
      </w:r>
      <w:bookmarkEnd w:id="9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b w:val="0"/>
          <w:color w:val="000000"/>
          <w:sz w:val="24"/>
          <w:highlight w:val="none"/>
          <w:u w:color="auto"/>
        </w:rPr>
        <w:t>未来几年，用人单位对学校毕业生招聘需求与目前持平（51.</w:t>
      </w:r>
      <w:r>
        <w:rPr>
          <w:rFonts w:hint="eastAsia" w:cs="Times New Roman"/>
          <w:b w:val="0"/>
          <w:color w:val="000000"/>
          <w:sz w:val="24"/>
          <w:highlight w:val="none"/>
          <w:u w:color="auto"/>
          <w:lang w:val="en-US" w:eastAsia="zh-CN"/>
        </w:rPr>
        <w:t>63</w:t>
      </w:r>
      <w:r>
        <w:rPr>
          <w:rFonts w:hint="default" w:ascii="Times New Roman" w:hAnsi="Times New Roman" w:eastAsia="宋体" w:cs="Times New Roman"/>
          <w:b w:val="0"/>
          <w:color w:val="000000"/>
          <w:sz w:val="24"/>
          <w:highlight w:val="none"/>
          <w:u w:color="auto"/>
        </w:rPr>
        <w:t>%），再次来校招聘意愿为</w:t>
      </w:r>
      <w:r>
        <w:rPr>
          <w:rFonts w:hint="eastAsia" w:cs="Times New Roman"/>
          <w:b w:val="0"/>
          <w:color w:val="000000"/>
          <w:sz w:val="24"/>
          <w:highlight w:val="none"/>
          <w:u w:color="auto"/>
          <w:lang w:val="en-US" w:eastAsia="zh-CN"/>
        </w:rPr>
        <w:t>94.77</w:t>
      </w:r>
      <w:r>
        <w:rPr>
          <w:rFonts w:hint="default" w:ascii="Times New Roman" w:hAnsi="Times New Roman" w:eastAsia="宋体" w:cs="Times New Roman"/>
          <w:b w:val="0"/>
          <w:color w:val="000000"/>
          <w:sz w:val="24"/>
          <w:highlight w:val="none"/>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136390" cy="2321560"/>
            <wp:effectExtent l="0" t="0" r="16510" b="2540"/>
            <wp:docPr id="59"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图8-4  用人单位未来招聘需求（单位：%）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37380" cy="2458720"/>
            <wp:effectExtent l="0" t="0" r="1270" b="17780"/>
            <wp:docPr id="60"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图8-5  用人单位未来招聘意愿</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2"/>
          <w:numId w:val="84"/>
        </w:numPr>
        <w:shd w:val="clear" w:color="auto" w:fill="FFFFFF"/>
        <w:spacing w:before="15" w:after="15" w:line="360" w:lineRule="auto"/>
        <w:jc w:val="left"/>
        <w:outlineLvl w:val="2"/>
        <w:rPr>
          <w:rFonts w:hint="default" w:ascii="Times New Roman" w:hAnsi="Times New Roman" w:cs="Times New Roman"/>
        </w:rPr>
      </w:pPr>
      <w:bookmarkStart w:id="100" w:name="_Toc23878"/>
      <w:r>
        <w:rPr>
          <w:rFonts w:hint="default" w:ascii="Times New Roman" w:hAnsi="Times New Roman" w:eastAsia="黑体" w:cs="Times New Roman"/>
          <w:b/>
          <w:color w:val="0F6FC6"/>
          <w:sz w:val="28"/>
          <w:u w:color="auto"/>
        </w:rPr>
        <w:t>（四）招聘原因和渠道</w:t>
      </w:r>
      <w:bookmarkEnd w:id="10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用人单位招聘学校毕业生的主要原因是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有相关的实习经验</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r>
        <w:rPr>
          <w:rFonts w:hint="eastAsia" w:cs="Times New Roman"/>
          <w:b w:val="0"/>
          <w:color w:val="000000"/>
          <w:sz w:val="24"/>
          <w:u w:color="auto"/>
          <w:lang w:val="en-US" w:eastAsia="zh-CN"/>
        </w:rPr>
        <w:t>43.14</w:t>
      </w:r>
      <w:r>
        <w:rPr>
          <w:rFonts w:hint="default" w:ascii="Times New Roman" w:hAnsi="Times New Roman" w:eastAsia="宋体" w:cs="Times New Roman"/>
          <w:b w:val="0"/>
          <w:color w:val="000000"/>
          <w:sz w:val="24"/>
          <w:u w:color="auto"/>
        </w:rPr>
        <w:t>%），其次为</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专业对口</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（4</w:t>
      </w:r>
      <w:r>
        <w:rPr>
          <w:rFonts w:hint="eastAsia" w:cs="Times New Roman"/>
          <w:b w:val="0"/>
          <w:color w:val="000000"/>
          <w:sz w:val="24"/>
          <w:u w:color="auto"/>
          <w:lang w:val="en-US" w:eastAsia="zh-CN"/>
        </w:rPr>
        <w:t>1.18</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444365" cy="2470150"/>
            <wp:effectExtent l="0" t="0" r="13335" b="6350"/>
            <wp:docPr id="61"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图8-6  用人单位招聘原因（单位：%）</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招聘渠道主要集中在</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学校开设平台（招聘会、学校云就业平台等）</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（44.</w:t>
      </w:r>
      <w:r>
        <w:rPr>
          <w:rFonts w:hint="eastAsia" w:cs="Times New Roman"/>
          <w:b w:val="0"/>
          <w:color w:val="000000"/>
          <w:sz w:val="24"/>
          <w:u w:color="auto"/>
          <w:lang w:val="en-US" w:eastAsia="zh-CN"/>
        </w:rPr>
        <w:t>44</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198745" cy="2658745"/>
            <wp:effectExtent l="0" t="0" r="1905" b="8255"/>
            <wp:docPr id="62"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spacing w:line="360" w:lineRule="auto"/>
        <w:jc w:val="center"/>
        <w:rPr>
          <w:rFonts w:hint="default" w:ascii="Times New Roman" w:hAnsi="Times New Roman" w:cs="Times New Roman"/>
        </w:rPr>
      </w:pPr>
      <w:bookmarkStart w:id="101" w:name="20041"/>
      <w:r>
        <w:rPr>
          <w:rFonts w:hint="default" w:ascii="Times New Roman" w:hAnsi="Times New Roman" w:eastAsia="宋体" w:cs="Times New Roman"/>
          <w:b/>
          <w:color w:val="0F6FC6"/>
          <w:sz w:val="21"/>
          <w:u w:color="auto"/>
        </w:rPr>
        <w:t>图8-7  用人单位招聘渠道（单位：%）</w:t>
      </w:r>
      <w:bookmarkEnd w:id="101"/>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85"/>
        </w:numPr>
        <w:shd w:val="clear" w:color="auto" w:fill="FFFFFF"/>
        <w:spacing w:before="15" w:after="15" w:line="360" w:lineRule="auto"/>
        <w:jc w:val="left"/>
        <w:outlineLvl w:val="1"/>
        <w:rPr>
          <w:rFonts w:hint="default" w:ascii="Times New Roman" w:hAnsi="Times New Roman" w:cs="Times New Roman"/>
        </w:rPr>
      </w:pPr>
      <w:bookmarkStart w:id="102" w:name="_Toc32304"/>
      <w:r>
        <w:rPr>
          <w:rFonts w:hint="default" w:ascii="Times New Roman" w:hAnsi="Times New Roman" w:eastAsia="黑体" w:cs="Times New Roman"/>
          <w:b/>
          <w:color w:val="0F6FC6"/>
          <w:sz w:val="30"/>
          <w:u w:color="auto"/>
        </w:rPr>
        <w:t>二、对学校毕业生的评价</w:t>
      </w:r>
      <w:bookmarkEnd w:id="10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用人单位对毕业生的评价客观地反映着学校人才培养的质量，以及学校人才培养模式与社会市场需求的适配度，对于未来改进学校人才培养方案有积极地促进作用。用人单位对毕业生的评价包括毕业生总体满意度、毕业生政治素养满意度、毕业生专业水平满意度、毕业生职业能力满意度等方面。</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用人单位对学校毕业生的总体满意度为94.</w:t>
      </w:r>
      <w:r>
        <w:rPr>
          <w:rFonts w:hint="eastAsia" w:cs="Times New Roman"/>
          <w:b w:val="0"/>
          <w:color w:val="000000"/>
          <w:sz w:val="24"/>
          <w:u w:color="auto"/>
          <w:lang w:val="en-US" w:eastAsia="zh-CN"/>
        </w:rPr>
        <w:t>77</w:t>
      </w:r>
      <w:r>
        <w:rPr>
          <w:rFonts w:hint="default" w:ascii="Times New Roman" w:hAnsi="Times New Roman" w:eastAsia="宋体" w:cs="Times New Roman"/>
          <w:b w:val="0"/>
          <w:color w:val="000000"/>
          <w:sz w:val="24"/>
          <w:u w:color="auto"/>
        </w:rPr>
        <w:t>%，对政治素养的满意度为</w:t>
      </w:r>
      <w:r>
        <w:rPr>
          <w:rFonts w:hint="default" w:ascii="Times New Roman" w:hAnsi="Times New Roman" w:eastAsia="宋体" w:cs="Times New Roman"/>
          <w:b w:val="0"/>
          <w:color w:val="000000"/>
          <w:sz w:val="24"/>
          <w:highlight w:val="none"/>
          <w:u w:color="auto"/>
        </w:rPr>
        <w:t>9</w:t>
      </w:r>
      <w:r>
        <w:rPr>
          <w:rFonts w:hint="eastAsia" w:cs="Times New Roman"/>
          <w:b w:val="0"/>
          <w:color w:val="000000"/>
          <w:sz w:val="24"/>
          <w:highlight w:val="none"/>
          <w:u w:color="auto"/>
          <w:lang w:val="en-US" w:eastAsia="zh-CN"/>
        </w:rPr>
        <w:t>5.42</w:t>
      </w:r>
      <w:r>
        <w:rPr>
          <w:rFonts w:hint="default" w:ascii="Times New Roman" w:hAnsi="Times New Roman" w:eastAsia="宋体" w:cs="Times New Roman"/>
          <w:b w:val="0"/>
          <w:color w:val="000000"/>
          <w:sz w:val="24"/>
          <w:highlight w:val="none"/>
          <w:u w:color="auto"/>
        </w:rPr>
        <w:t>%，对职业能力的满意度为9</w:t>
      </w:r>
      <w:r>
        <w:rPr>
          <w:rFonts w:hint="eastAsia" w:cs="Times New Roman"/>
          <w:b w:val="0"/>
          <w:color w:val="000000"/>
          <w:sz w:val="24"/>
          <w:highlight w:val="none"/>
          <w:u w:color="auto"/>
          <w:lang w:val="en-US" w:eastAsia="zh-CN"/>
        </w:rPr>
        <w:t>6.08</w:t>
      </w:r>
      <w:r>
        <w:rPr>
          <w:rFonts w:hint="default" w:ascii="Times New Roman" w:hAnsi="Times New Roman" w:eastAsia="宋体" w:cs="Times New Roman"/>
          <w:b w:val="0"/>
          <w:color w:val="000000"/>
          <w:sz w:val="24"/>
          <w:highlight w:val="none"/>
          <w:u w:color="auto"/>
        </w:rPr>
        <w:t>%，对专业知识的满意度为9</w:t>
      </w:r>
      <w:r>
        <w:rPr>
          <w:rFonts w:hint="eastAsia" w:cs="Times New Roman"/>
          <w:b w:val="0"/>
          <w:color w:val="000000"/>
          <w:sz w:val="24"/>
          <w:highlight w:val="none"/>
          <w:u w:color="auto"/>
          <w:lang w:val="en-US" w:eastAsia="zh-CN"/>
        </w:rPr>
        <w:t>6.08</w:t>
      </w:r>
      <w:r>
        <w:rPr>
          <w:rFonts w:hint="default" w:ascii="Times New Roman" w:hAnsi="Times New Roman" w:eastAsia="宋体" w:cs="Times New Roman"/>
          <w:b w:val="0"/>
          <w:color w:val="000000"/>
          <w:sz w:val="24"/>
          <w:highlight w:val="none"/>
          <w:u w:color="auto"/>
        </w:rPr>
        <w:t>%，对综合能力的满意度为</w:t>
      </w:r>
      <w:r>
        <w:rPr>
          <w:rFonts w:hint="eastAsia" w:cs="Times New Roman"/>
          <w:b w:val="0"/>
          <w:color w:val="000000"/>
          <w:sz w:val="24"/>
          <w:highlight w:val="none"/>
          <w:u w:color="auto"/>
          <w:lang w:val="en-US" w:eastAsia="zh-CN"/>
        </w:rPr>
        <w:t>94.77</w:t>
      </w:r>
      <w:r>
        <w:rPr>
          <w:rFonts w:hint="default" w:ascii="Times New Roman" w:hAnsi="Times New Roman" w:eastAsia="宋体" w:cs="Times New Roman"/>
          <w:b w:val="0"/>
          <w:color w:val="000000"/>
          <w:sz w:val="24"/>
          <w:highlight w:val="none"/>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84675" cy="2913380"/>
            <wp:effectExtent l="0" t="0" r="15875" b="1270"/>
            <wp:docPr id="63"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图8-8  用人单位对2023届毕业生的总体满意度（单位：%）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98.69%的用人单位认为</w:t>
      </w:r>
      <w:r>
        <w:rPr>
          <w:rFonts w:hint="eastAsia" w:cs="Times New Roman"/>
          <w:b w:val="0"/>
          <w:color w:val="000000"/>
          <w:sz w:val="24"/>
          <w:u w:color="auto"/>
          <w:lang w:eastAsia="zh-CN"/>
        </w:rPr>
        <w:t>学校</w:t>
      </w:r>
      <w:r>
        <w:rPr>
          <w:rFonts w:hint="default" w:ascii="Times New Roman" w:hAnsi="Times New Roman" w:eastAsia="宋体" w:cs="Times New Roman"/>
          <w:b w:val="0"/>
          <w:color w:val="000000"/>
          <w:sz w:val="24"/>
          <w:u w:color="auto"/>
        </w:rPr>
        <w:t>2023届毕业生在求职过程中表现积极。</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04665" cy="2350770"/>
            <wp:effectExtent l="0" t="0" r="635" b="11430"/>
            <wp:docPr id="64"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图8-9  用人单位对2023届毕业生求职过程中的积极性评价</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用人单位认为对学校应届毕业生职业发展最有益的在校经历是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公共课与专业课的学习</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（53.</w:t>
      </w:r>
      <w:r>
        <w:rPr>
          <w:rFonts w:hint="eastAsia" w:cs="Times New Roman"/>
          <w:b w:val="0"/>
          <w:color w:val="000000"/>
          <w:sz w:val="24"/>
          <w:u w:color="auto"/>
          <w:lang w:val="en-US" w:eastAsia="zh-CN"/>
        </w:rPr>
        <w:t>59</w:t>
      </w:r>
      <w:r>
        <w:rPr>
          <w:rFonts w:hint="default" w:ascii="Times New Roman" w:hAnsi="Times New Roman" w:eastAsia="宋体" w:cs="Times New Roman"/>
          <w:b w:val="0"/>
          <w:color w:val="000000"/>
          <w:sz w:val="24"/>
          <w:u w:color="auto"/>
        </w:rPr>
        <w:t>%），</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考取专业相关的技能证书</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（46.</w:t>
      </w:r>
      <w:r>
        <w:rPr>
          <w:rFonts w:hint="eastAsia" w:cs="Times New Roman"/>
          <w:b w:val="0"/>
          <w:color w:val="000000"/>
          <w:sz w:val="24"/>
          <w:u w:color="auto"/>
          <w:lang w:val="en-US" w:eastAsia="zh-CN"/>
        </w:rPr>
        <w:t>41</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41495" cy="2701925"/>
            <wp:effectExtent l="0" t="0" r="1905" b="3175"/>
            <wp:docPr id="65"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图8-10  用人单位认为职业发展最有益的在校经历（单位：%）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b w:val="0"/>
          <w:color w:val="000000"/>
          <w:sz w:val="24"/>
          <w:highlight w:val="none"/>
          <w:u w:color="auto"/>
        </w:rPr>
        <w:t>用人单位认为学校应届毕业生在人才培养过程中需加强的部分为</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加强基础知识的培养，拓宽学生知识面</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（59.</w:t>
      </w:r>
      <w:r>
        <w:rPr>
          <w:rFonts w:hint="eastAsia" w:cs="Times New Roman"/>
          <w:b w:val="0"/>
          <w:color w:val="000000"/>
          <w:sz w:val="24"/>
          <w:highlight w:val="none"/>
          <w:u w:color="auto"/>
          <w:lang w:val="en-US" w:eastAsia="zh-CN"/>
        </w:rPr>
        <w:t>48</w:t>
      </w:r>
      <w:r>
        <w:rPr>
          <w:rFonts w:hint="default" w:ascii="Times New Roman" w:hAnsi="Times New Roman" w:eastAsia="宋体" w:cs="Times New Roman"/>
          <w:b w:val="0"/>
          <w:color w:val="000000"/>
          <w:sz w:val="24"/>
          <w:highlight w:val="none"/>
          <w:u w:color="auto"/>
        </w:rPr>
        <w:t>%），</w:t>
      </w:r>
      <w:r>
        <w:rPr>
          <w:rFonts w:hint="eastAsia" w:cs="Times New Roman"/>
          <w:b w:val="0"/>
          <w:color w:val="000000"/>
          <w:sz w:val="24"/>
          <w:highlight w:val="none"/>
          <w:u w:color="auto"/>
          <w:lang w:eastAsia="zh-CN"/>
        </w:rPr>
        <w:t>“</w:t>
      </w:r>
      <w:r>
        <w:rPr>
          <w:rFonts w:hint="eastAsia" w:cs="Times New Roman"/>
          <w:b w:val="0"/>
          <w:color w:val="000000"/>
          <w:sz w:val="24"/>
          <w:highlight w:val="none"/>
          <w:u w:color="auto"/>
          <w:lang w:val="en-US" w:eastAsia="zh-CN"/>
        </w:rPr>
        <w:t>强化专业实践环节，增强学生实践动手能力</w:t>
      </w:r>
      <w:r>
        <w:rPr>
          <w:rFonts w:hint="eastAsia"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（50.</w:t>
      </w:r>
      <w:r>
        <w:rPr>
          <w:rFonts w:hint="eastAsia" w:cs="Times New Roman"/>
          <w:b w:val="0"/>
          <w:color w:val="000000"/>
          <w:sz w:val="24"/>
          <w:highlight w:val="none"/>
          <w:u w:color="auto"/>
          <w:lang w:val="en-US" w:eastAsia="zh-CN"/>
        </w:rPr>
        <w:t>98</w:t>
      </w:r>
      <w:r>
        <w:rPr>
          <w:rFonts w:hint="default" w:ascii="Times New Roman" w:hAnsi="Times New Roman" w:eastAsia="宋体" w:cs="Times New Roman"/>
          <w:b w:val="0"/>
          <w:color w:val="000000"/>
          <w:sz w:val="24"/>
          <w:highlight w:val="none"/>
          <w:u w:color="auto"/>
        </w:rPr>
        <w:t>%）</w:t>
      </w:r>
      <w:r>
        <w:rPr>
          <w:rFonts w:hint="eastAsia" w:cs="Times New Roman"/>
          <w:b w:val="0"/>
          <w:color w:val="000000"/>
          <w:sz w:val="24"/>
          <w:highlight w:val="none"/>
          <w:u w:color="auto"/>
          <w:lang w:val="en-US" w:eastAsia="zh-CN"/>
        </w:rPr>
        <w:t>和</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加强专业知识的培养</w:t>
      </w:r>
      <w:r>
        <w:rPr>
          <w:rFonts w:hint="eastAsia" w:eastAsia="宋体" w:cs="Times New Roman"/>
          <w:b w:val="0"/>
          <w:color w:val="000000"/>
          <w:sz w:val="24"/>
          <w:highlight w:val="none"/>
          <w:u w:color="auto"/>
          <w:lang w:eastAsia="zh-CN"/>
        </w:rPr>
        <w:t>”</w:t>
      </w:r>
      <w:r>
        <w:rPr>
          <w:rFonts w:hint="default" w:ascii="Times New Roman" w:hAnsi="Times New Roman" w:eastAsia="宋体" w:cs="Times New Roman"/>
          <w:b w:val="0"/>
          <w:color w:val="000000"/>
          <w:sz w:val="24"/>
          <w:highlight w:val="none"/>
          <w:u w:color="auto"/>
        </w:rPr>
        <w:t>（50.</w:t>
      </w:r>
      <w:r>
        <w:rPr>
          <w:rFonts w:hint="eastAsia" w:cs="Times New Roman"/>
          <w:b w:val="0"/>
          <w:color w:val="000000"/>
          <w:sz w:val="24"/>
          <w:highlight w:val="none"/>
          <w:u w:color="auto"/>
          <w:lang w:val="en-US" w:eastAsia="zh-CN"/>
        </w:rPr>
        <w:t>98</w:t>
      </w:r>
      <w:r>
        <w:rPr>
          <w:rFonts w:hint="default" w:ascii="Times New Roman" w:hAnsi="Times New Roman" w:eastAsia="宋体" w:cs="Times New Roman"/>
          <w:b w:val="0"/>
          <w:color w:val="000000"/>
          <w:sz w:val="24"/>
          <w:highlight w:val="none"/>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064760" cy="2587625"/>
            <wp:effectExtent l="0" t="0" r="2540" b="3175"/>
            <wp:docPr id="66"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图8-11  用人单位认为在人才培养过程中需加强的部分（单位：%）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86"/>
        </w:numPr>
        <w:shd w:val="clear" w:color="auto" w:fill="FFFFFF"/>
        <w:spacing w:before="15" w:after="15" w:line="360" w:lineRule="auto"/>
        <w:jc w:val="left"/>
        <w:outlineLvl w:val="1"/>
        <w:rPr>
          <w:rFonts w:hint="default" w:ascii="Times New Roman" w:hAnsi="Times New Roman" w:cs="Times New Roman"/>
        </w:rPr>
      </w:pPr>
      <w:bookmarkStart w:id="103" w:name="_Toc16449"/>
      <w:r>
        <w:rPr>
          <w:rFonts w:hint="default" w:ascii="Times New Roman" w:hAnsi="Times New Roman" w:eastAsia="黑体" w:cs="Times New Roman"/>
          <w:b/>
          <w:color w:val="0F6FC6"/>
          <w:sz w:val="30"/>
          <w:u w:color="auto"/>
        </w:rPr>
        <w:t>三、最需要的就业服务</w:t>
      </w:r>
      <w:bookmarkEnd w:id="10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发布招聘信息</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组织校园招聘会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推荐毕业生</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是用人单位最需要学校提供的就业服务。</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014595" cy="2972435"/>
            <wp:effectExtent l="0" t="0" r="14605" b="18415"/>
            <wp:docPr id="67"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图8-12  用人单位需要学校提供的就业服务（单位：%）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87"/>
        </w:numPr>
        <w:shd w:val="clear" w:color="auto" w:fill="FFFFFF"/>
        <w:spacing w:before="15" w:after="15" w:line="360" w:lineRule="auto"/>
        <w:jc w:val="left"/>
        <w:outlineLvl w:val="1"/>
        <w:rPr>
          <w:rFonts w:hint="default" w:ascii="Times New Roman" w:hAnsi="Times New Roman" w:cs="Times New Roman"/>
        </w:rPr>
      </w:pPr>
      <w:bookmarkStart w:id="104" w:name="_Toc7505"/>
      <w:r>
        <w:rPr>
          <w:rFonts w:hint="default" w:ascii="Times New Roman" w:hAnsi="Times New Roman" w:eastAsia="黑体" w:cs="Times New Roman"/>
          <w:b/>
          <w:color w:val="0F6FC6"/>
          <w:sz w:val="30"/>
          <w:u w:color="auto"/>
        </w:rPr>
        <w:t>四、用人单位与高校合作的形式与比例</w:t>
      </w:r>
      <w:bookmarkEnd w:id="10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eastAsia" w:cs="Times New Roman"/>
          <w:b w:val="0"/>
          <w:color w:val="000000"/>
          <w:sz w:val="24"/>
          <w:u w:color="auto"/>
          <w:lang w:val="en-US" w:eastAsia="zh-CN"/>
        </w:rPr>
        <w:t>38.30</w:t>
      </w:r>
      <w:r>
        <w:rPr>
          <w:rFonts w:hint="default" w:ascii="Times New Roman" w:hAnsi="Times New Roman" w:eastAsia="宋体" w:cs="Times New Roman"/>
          <w:b w:val="0"/>
          <w:color w:val="000000"/>
          <w:sz w:val="24"/>
          <w:u w:color="auto"/>
        </w:rPr>
        <w:t>%的用人单位跟学校有过校企合作，可见，用人单位对学校的校企合作度较高。</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328160" cy="2094865"/>
            <wp:effectExtent l="0" t="0" r="15240" b="635"/>
            <wp:docPr id="68"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图8-13  用人单位对高校合作形式的了解</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用人单位与高校合作的形式：用人单位跟学校进行校企合作的形式主要有</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为学生提供实习机会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在学校建立实训基地</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和</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为学校教师提供实训机会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，分别占比为6</w:t>
      </w:r>
      <w:r>
        <w:rPr>
          <w:rFonts w:hint="eastAsia" w:cs="Times New Roman"/>
          <w:b w:val="0"/>
          <w:color w:val="000000"/>
          <w:sz w:val="24"/>
          <w:u w:color="auto"/>
          <w:lang w:val="en-US" w:eastAsia="zh-CN"/>
        </w:rPr>
        <w:t>5.32</w:t>
      </w:r>
      <w:r>
        <w:rPr>
          <w:rFonts w:hint="default" w:ascii="Times New Roman" w:hAnsi="Times New Roman" w:eastAsia="宋体" w:cs="Times New Roman"/>
          <w:b w:val="0"/>
          <w:color w:val="000000"/>
          <w:sz w:val="24"/>
          <w:u w:color="auto"/>
        </w:rPr>
        <w:t>%、3</w:t>
      </w:r>
      <w:r>
        <w:rPr>
          <w:rFonts w:hint="eastAsia" w:cs="Times New Roman"/>
          <w:b w:val="0"/>
          <w:color w:val="000000"/>
          <w:sz w:val="24"/>
          <w:u w:color="auto"/>
          <w:lang w:val="en-US" w:eastAsia="zh-CN"/>
        </w:rPr>
        <w:t>3.06</w:t>
      </w:r>
      <w:r>
        <w:rPr>
          <w:rFonts w:hint="default" w:ascii="Times New Roman" w:hAnsi="Times New Roman" w:eastAsia="宋体" w:cs="Times New Roman"/>
          <w:b w:val="0"/>
          <w:color w:val="000000"/>
          <w:sz w:val="24"/>
          <w:u w:color="auto"/>
        </w:rPr>
        <w:t>%和2</w:t>
      </w:r>
      <w:r>
        <w:rPr>
          <w:rFonts w:hint="eastAsia" w:cs="Times New Roman"/>
          <w:b w:val="0"/>
          <w:color w:val="000000"/>
          <w:sz w:val="24"/>
          <w:u w:color="auto"/>
          <w:lang w:val="en-US" w:eastAsia="zh-CN"/>
        </w:rPr>
        <w:t>9.03</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601210" cy="3253105"/>
            <wp:effectExtent l="0" t="0" r="8890" b="4445"/>
            <wp:docPr id="69"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图8-14  用人单位与学校合作的形式（单位：%）</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numPr>
          <w:ilvl w:val="1"/>
          <w:numId w:val="88"/>
        </w:numPr>
        <w:shd w:val="clear" w:color="auto" w:fill="FFFFFF"/>
        <w:spacing w:before="15" w:after="15" w:line="360" w:lineRule="auto"/>
        <w:jc w:val="left"/>
        <w:outlineLvl w:val="1"/>
        <w:rPr>
          <w:rFonts w:hint="default" w:ascii="Times New Roman" w:hAnsi="Times New Roman" w:cs="Times New Roman"/>
        </w:rPr>
      </w:pPr>
      <w:bookmarkStart w:id="105" w:name="_Toc15982"/>
      <w:r>
        <w:rPr>
          <w:rFonts w:hint="default" w:ascii="Times New Roman" w:hAnsi="Times New Roman" w:eastAsia="黑体" w:cs="Times New Roman"/>
          <w:b/>
          <w:color w:val="0F6FC6"/>
          <w:sz w:val="30"/>
          <w:u w:color="auto"/>
        </w:rPr>
        <w:t>五、对学校招聘服务的评价</w:t>
      </w:r>
      <w:bookmarkEnd w:id="10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学校招聘服务工作是联系毕业生与用人单位的重要纽带，可以满足用人单位招聘优质毕业生的需求，也是毕业生接收招聘信息，实现求职目的的主要途径。用人单位对学校招聘服务的评价能够为优化学校招聘服务工作提供参考，提高学校招聘工作的针对性和高质性。</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用人单位对本校招聘服务的满意度为</w:t>
      </w:r>
      <w:r>
        <w:rPr>
          <w:rFonts w:hint="eastAsia" w:cs="Times New Roman"/>
          <w:b w:val="0"/>
          <w:color w:val="000000"/>
          <w:sz w:val="24"/>
          <w:u w:color="auto"/>
          <w:lang w:val="en-US" w:eastAsia="zh-CN"/>
        </w:rPr>
        <w:t>98.04</w:t>
      </w:r>
      <w:r>
        <w:rPr>
          <w:rFonts w:hint="default" w:ascii="Times New Roman" w:hAnsi="Times New Roman" w:eastAsia="宋体" w:cs="Times New Roman"/>
          <w:b w:val="0"/>
          <w:color w:val="000000"/>
          <w:sz w:val="24"/>
          <w:u w:color="auto"/>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283710" cy="2226310"/>
            <wp:effectExtent l="0" t="0" r="2540" b="2540"/>
            <wp:docPr id="70"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spacing w:line="360" w:lineRule="auto"/>
        <w:jc w:val="center"/>
        <w:rPr>
          <w:rFonts w:hint="default" w:ascii="Times New Roman" w:hAnsi="Times New Roman" w:cs="Times New Roman"/>
        </w:rPr>
      </w:pPr>
      <w:r>
        <w:rPr>
          <w:rFonts w:hint="default" w:ascii="Times New Roman" w:hAnsi="Times New Roman" w:eastAsia="宋体" w:cs="Times New Roman"/>
          <w:b/>
          <w:color w:val="0F6FC6"/>
          <w:sz w:val="21"/>
          <w:u w:color="auto"/>
        </w:rPr>
        <w:t>图8-15  用人单位对学校招聘服务的满意度</w:t>
      </w:r>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b w:val="0"/>
          <w:color w:val="000000"/>
          <w:sz w:val="24"/>
          <w:u w:color="auto"/>
        </w:rPr>
        <w:t>同时，用人单位认为学校应在</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加强校企沟通</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（16.</w:t>
      </w:r>
      <w:r>
        <w:rPr>
          <w:rFonts w:hint="eastAsia" w:cs="Times New Roman"/>
          <w:b w:val="0"/>
          <w:color w:val="000000"/>
          <w:sz w:val="24"/>
          <w:u w:color="auto"/>
          <w:lang w:val="en-US" w:eastAsia="zh-CN"/>
        </w:rPr>
        <w:t>99</w:t>
      </w:r>
      <w:r>
        <w:rPr>
          <w:rFonts w:hint="default" w:ascii="Times New Roman" w:hAnsi="Times New Roman" w:eastAsia="宋体" w:cs="Times New Roman"/>
          <w:b w:val="0"/>
          <w:color w:val="000000"/>
          <w:sz w:val="24"/>
          <w:u w:color="auto"/>
        </w:rPr>
        <w:t>%）、</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改进服务态度</w:t>
      </w:r>
      <w:r>
        <w:rPr>
          <w:rFonts w:hint="eastAsia" w:eastAsia="宋体" w:cs="Times New Roman"/>
          <w:b w:val="0"/>
          <w:color w:val="000000"/>
          <w:sz w:val="24"/>
          <w:u w:color="auto"/>
          <w:lang w:eastAsia="zh-CN"/>
        </w:rPr>
        <w:t>”</w:t>
      </w:r>
      <w:r>
        <w:rPr>
          <w:rFonts w:hint="default" w:ascii="Times New Roman" w:hAnsi="Times New Roman" w:eastAsia="宋体" w:cs="Times New Roman"/>
          <w:b w:val="0"/>
          <w:color w:val="000000"/>
          <w:sz w:val="24"/>
          <w:u w:color="auto"/>
        </w:rPr>
        <w:t>（15.</w:t>
      </w:r>
      <w:r>
        <w:rPr>
          <w:rFonts w:hint="eastAsia" w:cs="Times New Roman"/>
          <w:b w:val="0"/>
          <w:color w:val="000000"/>
          <w:sz w:val="24"/>
          <w:u w:color="auto"/>
          <w:lang w:val="en-US" w:eastAsia="zh-CN"/>
        </w:rPr>
        <w:t>69</w:t>
      </w:r>
      <w:r>
        <w:rPr>
          <w:rFonts w:hint="default" w:ascii="Times New Roman" w:hAnsi="Times New Roman" w:eastAsia="宋体" w:cs="Times New Roman"/>
          <w:b w:val="0"/>
          <w:color w:val="000000"/>
          <w:sz w:val="24"/>
          <w:u w:color="auto"/>
        </w:rPr>
        <w:t>%）这几方面来加强就业工作。</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3848735" cy="2622550"/>
            <wp:effectExtent l="0" t="0" r="18415" b="6350"/>
            <wp:docPr id="71"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spacing w:line="360" w:lineRule="auto"/>
        <w:jc w:val="center"/>
        <w:rPr>
          <w:rFonts w:hint="default" w:ascii="Times New Roman" w:hAnsi="Times New Roman" w:cs="Times New Roman"/>
        </w:rPr>
      </w:pPr>
      <w:bookmarkStart w:id="106" w:name="7980"/>
      <w:r>
        <w:rPr>
          <w:rFonts w:hint="default" w:ascii="Times New Roman" w:hAnsi="Times New Roman" w:eastAsia="宋体" w:cs="Times New Roman"/>
          <w:b/>
          <w:color w:val="0F6FC6"/>
          <w:sz w:val="21"/>
          <w:u w:color="auto"/>
        </w:rPr>
        <w:t>图8-16  用人单位对学校招聘服务工作的建议（单位：%）</w:t>
      </w:r>
      <w:bookmarkEnd w:id="106"/>
    </w:p>
    <w:p>
      <w:pPr>
        <w:spacing w:after="100" w:line="240" w:lineRule="auto"/>
        <w:rPr>
          <w:rFonts w:hint="eastAsia" w:ascii="Times New Roman" w:hAnsi="Times New Roman" w:eastAsia="宋体" w:cs="Times New Roman"/>
          <w:lang w:eastAsia="zh-CN"/>
        </w:rPr>
      </w:pPr>
      <w:r>
        <w:rPr>
          <w:rFonts w:hint="eastAsia" w:cs="Times New Roman"/>
          <w:color w:val="0F6FC6"/>
          <w:sz w:val="18"/>
          <w:u w:color="auto"/>
          <w:lang w:eastAsia="zh-CN"/>
        </w:rPr>
        <w:t>数据来源：第三方机构叁壹科技（山西）有限公司-2023届毕业生就业与培养质量调查。</w:t>
      </w:r>
    </w:p>
    <w:p>
      <w:pPr>
        <w:pageBreakBefore/>
        <w:numPr>
          <w:ilvl w:val="0"/>
          <w:numId w:val="89"/>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hint="default" w:ascii="Times New Roman" w:hAnsi="Times New Roman" w:cs="Times New Roman"/>
        </w:rPr>
      </w:pPr>
      <w:bookmarkStart w:id="107" w:name="_Toc934"/>
      <w:r>
        <w:rPr>
          <w:rFonts w:hint="default" w:ascii="Times New Roman" w:hAnsi="Times New Roman" w:eastAsia="黑体" w:cs="Times New Roman"/>
          <w:b/>
          <w:color w:val="FFFFFF"/>
          <w:sz w:val="36"/>
          <w:u w:color="auto"/>
        </w:rPr>
        <w:t>附录一  各</w:t>
      </w:r>
      <w:r>
        <w:rPr>
          <w:rFonts w:hint="eastAsia" w:eastAsia="黑体" w:cs="Times New Roman"/>
          <w:b/>
          <w:color w:val="FFFFFF"/>
          <w:sz w:val="36"/>
          <w:u w:color="auto"/>
          <w:lang w:val="en-US" w:eastAsia="zh-CN"/>
        </w:rPr>
        <w:t>系</w:t>
      </w:r>
      <w:r>
        <w:rPr>
          <w:rFonts w:hint="default" w:ascii="Times New Roman" w:hAnsi="Times New Roman" w:eastAsia="黑体" w:cs="Times New Roman"/>
          <w:b/>
          <w:color w:val="FFFFFF"/>
          <w:sz w:val="36"/>
          <w:u w:color="auto"/>
        </w:rPr>
        <w:t>毕业去向落实率及毕业去向分布</w:t>
      </w:r>
      <w:bookmarkEnd w:id="107"/>
    </w:p>
    <w:p>
      <w:pPr>
        <w:rPr>
          <w:rFonts w:hint="default" w:ascii="Times New Roman" w:hAnsi="Times New Roman" w:cs="Times New Roman"/>
        </w:rPr>
      </w:pPr>
      <w:r>
        <w:rPr>
          <w:rFonts w:hint="default" w:ascii="Times New Roman" w:hAnsi="Times New Roman" w:cs="Times New Roman"/>
        </w:rPr>
        <w:t>
</w:t>
      </w:r>
    </w:p>
    <w:p>
      <w:pPr>
        <w:spacing w:line="360" w:lineRule="auto"/>
        <w:jc w:val="center"/>
        <w:rPr>
          <w:rFonts w:hint="default" w:ascii="Times New Roman" w:hAnsi="Times New Roman" w:cs="Times New Roman"/>
        </w:rPr>
      </w:pPr>
      <w:r>
        <w:rPr>
          <w:rFonts w:hint="eastAsia" w:cs="Times New Roman"/>
          <w:b/>
          <w:color w:val="0F6FC6"/>
          <w:sz w:val="21"/>
          <w:u w:color="auto"/>
          <w:lang w:val="en-US" w:eastAsia="zh-CN"/>
        </w:rPr>
        <w:t>附表1</w:t>
      </w:r>
      <w:r>
        <w:rPr>
          <w:rFonts w:hint="default" w:ascii="Times New Roman" w:hAnsi="Times New Roman" w:eastAsia="宋体" w:cs="Times New Roman"/>
          <w:b/>
          <w:color w:val="0F6FC6"/>
          <w:sz w:val="21"/>
          <w:u w:color="auto"/>
        </w:rPr>
        <w:t xml:space="preserve">  各</w:t>
      </w:r>
      <w:r>
        <w:rPr>
          <w:rFonts w:hint="eastAsia" w:cs="Times New Roman"/>
          <w:b/>
          <w:color w:val="0F6FC6"/>
          <w:sz w:val="21"/>
          <w:u w:color="auto"/>
          <w:lang w:val="en-US" w:eastAsia="zh-CN"/>
        </w:rPr>
        <w:t>系</w:t>
      </w:r>
      <w:r>
        <w:rPr>
          <w:rFonts w:hint="default" w:ascii="Times New Roman" w:hAnsi="Times New Roman" w:eastAsia="宋体" w:cs="Times New Roman"/>
          <w:b/>
          <w:color w:val="0F6FC6"/>
          <w:sz w:val="21"/>
          <w:u w:color="auto"/>
        </w:rPr>
        <w:t>毕业去向落实率及毕业去向分布</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417"/>
        <w:gridCol w:w="763"/>
        <w:gridCol w:w="758"/>
        <w:gridCol w:w="1122"/>
        <w:gridCol w:w="1293"/>
        <w:gridCol w:w="893"/>
        <w:gridCol w:w="963"/>
        <w:gridCol w:w="893"/>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0F6FC6"/>
            <w:vAlign w:val="center"/>
          </w:tcPr>
          <w:p>
            <w:pPr>
              <w:jc w:val="center"/>
              <w:rPr>
                <w:rFonts w:hint="default" w:ascii="Times New Roman" w:hAnsi="Times New Roman" w:eastAsia="宋体" w:cs="Times New Roman"/>
                <w:sz w:val="22"/>
                <w:lang w:eastAsia="zh-CN"/>
              </w:rPr>
            </w:pPr>
            <w:r>
              <w:rPr>
                <w:rFonts w:hint="default" w:ascii="Times New Roman" w:hAnsi="Times New Roman" w:eastAsia="宋体" w:cs="Times New Roman"/>
                <w:b/>
                <w:color w:val="FFFFFF"/>
                <w:sz w:val="22"/>
                <w:u w:color="auto"/>
                <w:lang w:eastAsia="zh-CN"/>
              </w:rPr>
              <w:t>系</w:t>
            </w:r>
          </w:p>
        </w:tc>
        <w:tc>
          <w:tcPr>
            <w:tcW w:w="424"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总</w:t>
            </w:r>
          </w:p>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人数</w:t>
            </w:r>
          </w:p>
        </w:tc>
        <w:tc>
          <w:tcPr>
            <w:tcW w:w="42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就业</w:t>
            </w:r>
          </w:p>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人数</w:t>
            </w:r>
          </w:p>
        </w:tc>
        <w:tc>
          <w:tcPr>
            <w:tcW w:w="623" w:type="pct"/>
            <w:shd w:val="clear" w:color="auto" w:fill="0F6FC6"/>
            <w:vAlign w:val="center"/>
          </w:tcPr>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毕业去向落实率</w:t>
            </w:r>
          </w:p>
        </w:tc>
        <w:tc>
          <w:tcPr>
            <w:tcW w:w="718" w:type="pct"/>
            <w:shd w:val="clear" w:color="auto" w:fill="0F6FC6"/>
            <w:vAlign w:val="center"/>
          </w:tcPr>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协议和合同就业</w:t>
            </w:r>
          </w:p>
        </w:tc>
        <w:tc>
          <w:tcPr>
            <w:tcW w:w="496"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自主</w:t>
            </w:r>
          </w:p>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创业</w:t>
            </w:r>
          </w:p>
        </w:tc>
        <w:tc>
          <w:tcPr>
            <w:tcW w:w="535"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灵活</w:t>
            </w:r>
          </w:p>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就业</w:t>
            </w:r>
          </w:p>
        </w:tc>
        <w:tc>
          <w:tcPr>
            <w:tcW w:w="496" w:type="pct"/>
            <w:shd w:val="clear" w:color="auto" w:fill="0F6FC6"/>
            <w:vAlign w:val="center"/>
          </w:tcPr>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升学</w:t>
            </w:r>
          </w:p>
        </w:tc>
        <w:tc>
          <w:tcPr>
            <w:tcW w:w="496" w:type="pct"/>
            <w:shd w:val="clear" w:color="auto" w:fill="0F6FC6"/>
            <w:vAlign w:val="center"/>
          </w:tcPr>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未就业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文化产业系</w:t>
            </w:r>
          </w:p>
        </w:tc>
        <w:tc>
          <w:tcPr>
            <w:tcW w:w="424"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42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90.26%</w:t>
            </w:r>
          </w:p>
        </w:tc>
        <w:tc>
          <w:tcPr>
            <w:tcW w:w="718"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12.20%</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31.71%</w:t>
            </w:r>
          </w:p>
        </w:tc>
        <w:tc>
          <w:tcPr>
            <w:tcW w:w="535"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39.03%</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7.32%</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教育科学与技术系</w:t>
            </w:r>
          </w:p>
        </w:tc>
        <w:tc>
          <w:tcPr>
            <w:tcW w:w="424"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291</w:t>
            </w:r>
          </w:p>
        </w:tc>
        <w:tc>
          <w:tcPr>
            <w:tcW w:w="42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248</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85.22%</w:t>
            </w:r>
          </w:p>
        </w:tc>
        <w:tc>
          <w:tcPr>
            <w:tcW w:w="71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49.48%</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2.41%</w:t>
            </w:r>
          </w:p>
        </w:tc>
        <w:tc>
          <w:tcPr>
            <w:tcW w:w="535"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29.55%</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3.78%</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物理与电子工程系</w:t>
            </w:r>
          </w:p>
        </w:tc>
        <w:tc>
          <w:tcPr>
            <w:tcW w:w="424"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169</w:t>
            </w:r>
          </w:p>
        </w:tc>
        <w:tc>
          <w:tcPr>
            <w:tcW w:w="42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144</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85.20%</w:t>
            </w:r>
          </w:p>
        </w:tc>
        <w:tc>
          <w:tcPr>
            <w:tcW w:w="718"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24.85%</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11.24%</w:t>
            </w:r>
          </w:p>
        </w:tc>
        <w:tc>
          <w:tcPr>
            <w:tcW w:w="535"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39.05%</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10.06%</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材料科学与工程系</w:t>
            </w:r>
          </w:p>
        </w:tc>
        <w:tc>
          <w:tcPr>
            <w:tcW w:w="424"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74</w:t>
            </w:r>
          </w:p>
        </w:tc>
        <w:tc>
          <w:tcPr>
            <w:tcW w:w="42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85.1</w:t>
            </w:r>
            <w:r>
              <w:rPr>
                <w:rFonts w:hint="eastAsia" w:cs="Times New Roman"/>
                <w:i w:val="0"/>
                <w:iCs w:val="0"/>
                <w:color w:val="000000"/>
                <w:kern w:val="0"/>
                <w:sz w:val="22"/>
                <w:szCs w:val="22"/>
                <w:u w:val="none"/>
                <w:lang w:val="en-US" w:eastAsia="zh-CN" w:bidi="ar"/>
              </w:rPr>
              <w:t>4</w:t>
            </w:r>
            <w:r>
              <w:rPr>
                <w:rFonts w:hint="default" w:ascii="Times New Roman" w:hAnsi="Times New Roman" w:eastAsia="宋体" w:cs="Times New Roman"/>
                <w:i w:val="0"/>
                <w:iCs w:val="0"/>
                <w:color w:val="000000"/>
                <w:kern w:val="0"/>
                <w:sz w:val="22"/>
                <w:szCs w:val="22"/>
                <w:u w:val="none"/>
                <w:lang w:val="en-US" w:eastAsia="zh-CN" w:bidi="ar"/>
              </w:rPr>
              <w:t>%</w:t>
            </w:r>
          </w:p>
        </w:tc>
        <w:tc>
          <w:tcPr>
            <w:tcW w:w="71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32.43%</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eastAsia" w:cs="Times New Roman"/>
                <w:i w:val="0"/>
                <w:iCs w:val="0"/>
                <w:color w:val="000000"/>
                <w:kern w:val="0"/>
                <w:sz w:val="22"/>
                <w:szCs w:val="22"/>
                <w:u w:val="none"/>
                <w:lang w:val="en-US" w:eastAsia="zh-CN" w:bidi="ar"/>
              </w:rPr>
              <w:t>-</w:t>
            </w:r>
          </w:p>
        </w:tc>
        <w:tc>
          <w:tcPr>
            <w:tcW w:w="535"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28.38%</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24.32%</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信息技术与工程系</w:t>
            </w:r>
          </w:p>
        </w:tc>
        <w:tc>
          <w:tcPr>
            <w:tcW w:w="424"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261</w:t>
            </w:r>
          </w:p>
        </w:tc>
        <w:tc>
          <w:tcPr>
            <w:tcW w:w="42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222</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85.06%</w:t>
            </w:r>
          </w:p>
        </w:tc>
        <w:tc>
          <w:tcPr>
            <w:tcW w:w="718"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39.4</w:t>
            </w:r>
            <w:r>
              <w:rPr>
                <w:rFonts w:hint="eastAsia" w:cs="Times New Roman"/>
                <w:i w:val="0"/>
                <w:iCs w:val="0"/>
                <w:color w:val="000000"/>
                <w:kern w:val="0"/>
                <w:sz w:val="22"/>
                <w:szCs w:val="22"/>
                <w:u w:val="none"/>
                <w:lang w:val="en-US" w:eastAsia="zh-CN" w:bidi="ar"/>
              </w:rPr>
              <w:t>6</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3.45%</w:t>
            </w:r>
          </w:p>
        </w:tc>
        <w:tc>
          <w:tcPr>
            <w:tcW w:w="535"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35.63%</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6.51%</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14.9</w:t>
            </w:r>
            <w:r>
              <w:rPr>
                <w:rFonts w:hint="eastAsia" w:cs="Times New Roman"/>
                <w:i w:val="0"/>
                <w:iCs w:val="0"/>
                <w:color w:val="000000"/>
                <w:kern w:val="0"/>
                <w:sz w:val="22"/>
                <w:szCs w:val="22"/>
                <w:u w:val="none"/>
                <w:lang w:val="en-US" w:eastAsia="zh-CN" w:bidi="ar"/>
              </w:rPr>
              <w:t>4</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旅游管理系</w:t>
            </w:r>
          </w:p>
        </w:tc>
        <w:tc>
          <w:tcPr>
            <w:tcW w:w="424"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252</w:t>
            </w:r>
          </w:p>
        </w:tc>
        <w:tc>
          <w:tcPr>
            <w:tcW w:w="42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214</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84.9</w:t>
            </w:r>
            <w:r>
              <w:rPr>
                <w:rFonts w:hint="eastAsia" w:cs="Times New Roman"/>
                <w:i w:val="0"/>
                <w:iCs w:val="0"/>
                <w:color w:val="000000"/>
                <w:kern w:val="0"/>
                <w:sz w:val="22"/>
                <w:szCs w:val="22"/>
                <w:u w:val="none"/>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w:t>
            </w:r>
          </w:p>
        </w:tc>
        <w:tc>
          <w:tcPr>
            <w:tcW w:w="71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42.8</w:t>
            </w:r>
            <w:r>
              <w:rPr>
                <w:rFonts w:hint="eastAsia" w:cs="Times New Roman"/>
                <w:i w:val="0"/>
                <w:iCs w:val="0"/>
                <w:color w:val="000000"/>
                <w:kern w:val="0"/>
                <w:sz w:val="22"/>
                <w:szCs w:val="22"/>
                <w:u w:val="none"/>
                <w:lang w:val="en-US" w:eastAsia="zh-CN" w:bidi="ar"/>
              </w:rPr>
              <w:t>6</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eastAsia" w:cs="Times New Roman"/>
                <w:i w:val="0"/>
                <w:iCs w:val="0"/>
                <w:color w:val="000000"/>
                <w:kern w:val="0"/>
                <w:sz w:val="22"/>
                <w:szCs w:val="22"/>
                <w:u w:val="none"/>
                <w:lang w:val="en-US" w:eastAsia="zh-CN" w:bidi="ar"/>
              </w:rPr>
              <w:t>-</w:t>
            </w:r>
          </w:p>
        </w:tc>
        <w:tc>
          <w:tcPr>
            <w:tcW w:w="535"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37.70%</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4.3</w:t>
            </w:r>
            <w:r>
              <w:rPr>
                <w:rFonts w:hint="eastAsia" w:cs="Times New Roman"/>
                <w:i w:val="0"/>
                <w:iCs w:val="0"/>
                <w:color w:val="000000"/>
                <w:kern w:val="0"/>
                <w:sz w:val="22"/>
                <w:szCs w:val="22"/>
                <w:u w:val="none"/>
                <w:lang w:val="en-US" w:eastAsia="zh-CN" w:bidi="ar"/>
              </w:rPr>
              <w:t>7</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15.0</w:t>
            </w:r>
            <w:r>
              <w:rPr>
                <w:rFonts w:hint="eastAsia" w:cs="Times New Roman"/>
                <w:i w:val="0"/>
                <w:iCs w:val="0"/>
                <w:color w:val="000000"/>
                <w:kern w:val="0"/>
                <w:sz w:val="22"/>
                <w:szCs w:val="22"/>
                <w:u w:val="none"/>
                <w:lang w:val="en-US" w:eastAsia="zh-CN" w:bidi="ar"/>
              </w:rPr>
              <w:t>8</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化学化工系</w:t>
            </w:r>
          </w:p>
        </w:tc>
        <w:tc>
          <w:tcPr>
            <w:tcW w:w="424"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215</w:t>
            </w:r>
          </w:p>
        </w:tc>
        <w:tc>
          <w:tcPr>
            <w:tcW w:w="42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182</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84.6</w:t>
            </w:r>
            <w:r>
              <w:rPr>
                <w:rFonts w:hint="eastAsia"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c>
          <w:tcPr>
            <w:tcW w:w="718"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30.7</w:t>
            </w:r>
            <w:r>
              <w:rPr>
                <w:rFonts w:hint="eastAsia" w:cs="Times New Roman"/>
                <w:i w:val="0"/>
                <w:iCs w:val="0"/>
                <w:color w:val="000000"/>
                <w:kern w:val="0"/>
                <w:sz w:val="22"/>
                <w:szCs w:val="22"/>
                <w:u w:val="none"/>
                <w:lang w:val="en-US" w:eastAsia="zh-CN" w:bidi="ar"/>
              </w:rPr>
              <w:t>0</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3.72%</w:t>
            </w:r>
          </w:p>
        </w:tc>
        <w:tc>
          <w:tcPr>
            <w:tcW w:w="535"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31.63%</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18.60%</w:t>
            </w:r>
          </w:p>
        </w:tc>
        <w:tc>
          <w:tcPr>
            <w:tcW w:w="49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w:t>
            </w:r>
            <w:r>
              <w:rPr>
                <w:rFonts w:hint="eastAsia" w:cs="Times New Roman"/>
                <w:i w:val="0"/>
                <w:iCs w:val="0"/>
                <w:color w:val="000000"/>
                <w:kern w:val="0"/>
                <w:sz w:val="22"/>
                <w:szCs w:val="22"/>
                <w:u w:val="none"/>
                <w:lang w:val="en-US" w:eastAsia="zh-CN" w:bidi="ar"/>
              </w:rPr>
              <w:t>5.35</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经济管理系</w:t>
            </w:r>
          </w:p>
        </w:tc>
        <w:tc>
          <w:tcPr>
            <w:tcW w:w="424"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407</w:t>
            </w:r>
          </w:p>
        </w:tc>
        <w:tc>
          <w:tcPr>
            <w:tcW w:w="42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344</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84.</w:t>
            </w:r>
            <w:r>
              <w:rPr>
                <w:rFonts w:hint="eastAsia"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2%</w:t>
            </w:r>
          </w:p>
        </w:tc>
        <w:tc>
          <w:tcPr>
            <w:tcW w:w="71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38.</w:t>
            </w:r>
            <w:r>
              <w:rPr>
                <w:rFonts w:hint="eastAsia" w:cs="Times New Roman"/>
                <w:i w:val="0"/>
                <w:iCs w:val="0"/>
                <w:color w:val="000000"/>
                <w:kern w:val="0"/>
                <w:sz w:val="22"/>
                <w:szCs w:val="22"/>
                <w:u w:val="none"/>
                <w:lang w:val="en-US" w:eastAsia="zh-CN" w:bidi="ar"/>
              </w:rPr>
              <w:t>57</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0.74%</w:t>
            </w:r>
          </w:p>
        </w:tc>
        <w:tc>
          <w:tcPr>
            <w:tcW w:w="535"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39.0</w:t>
            </w:r>
            <w:r>
              <w:rPr>
                <w:rFonts w:hint="eastAsia" w:cs="Times New Roman"/>
                <w:i w:val="0"/>
                <w:iCs w:val="0"/>
                <w:color w:val="000000"/>
                <w:kern w:val="0"/>
                <w:sz w:val="22"/>
                <w:szCs w:val="22"/>
                <w:u w:val="none"/>
                <w:lang w:val="en-US" w:eastAsia="zh-CN" w:bidi="ar"/>
              </w:rPr>
              <w:t>7</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6.14%</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15.4</w:t>
            </w:r>
            <w:r>
              <w:rPr>
                <w:rFonts w:hint="eastAsia" w:cs="Times New Roman"/>
                <w:i w:val="0"/>
                <w:iCs w:val="0"/>
                <w:color w:val="000000"/>
                <w:kern w:val="0"/>
                <w:sz w:val="22"/>
                <w:szCs w:val="22"/>
                <w:u w:val="none"/>
                <w:lang w:val="en-US" w:eastAsia="zh-CN" w:bidi="ar"/>
              </w:rPr>
              <w:t>8</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生物科学与技术系</w:t>
            </w:r>
          </w:p>
        </w:tc>
        <w:tc>
          <w:tcPr>
            <w:tcW w:w="42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288</w:t>
            </w:r>
          </w:p>
        </w:tc>
        <w:tc>
          <w:tcPr>
            <w:tcW w:w="42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243</w:t>
            </w:r>
          </w:p>
        </w:tc>
        <w:tc>
          <w:tcPr>
            <w:tcW w:w="6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84.38%</w:t>
            </w:r>
          </w:p>
        </w:tc>
        <w:tc>
          <w:tcPr>
            <w:tcW w:w="71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23.96%</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2"/>
                <w:szCs w:val="22"/>
              </w:rPr>
            </w:pPr>
            <w:r>
              <w:rPr>
                <w:rFonts w:hint="eastAsia" w:cs="Times New Roman"/>
                <w:i w:val="0"/>
                <w:iCs w:val="0"/>
                <w:color w:val="000000"/>
                <w:kern w:val="0"/>
                <w:sz w:val="22"/>
                <w:szCs w:val="22"/>
                <w:u w:val="none"/>
                <w:lang w:val="en-US" w:eastAsia="zh-CN" w:bidi="ar"/>
              </w:rPr>
              <w:t>-</w:t>
            </w:r>
          </w:p>
        </w:tc>
        <w:tc>
          <w:tcPr>
            <w:tcW w:w="53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36.81%</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23.61%</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i w:val="0"/>
                <w:iCs w:val="0"/>
                <w:color w:val="000000"/>
                <w:kern w:val="0"/>
                <w:sz w:val="22"/>
                <w:szCs w:val="22"/>
                <w:u w:val="none"/>
                <w:lang w:val="en-US" w:eastAsia="zh-CN" w:bidi="ar"/>
              </w:rPr>
              <w:t>15.62%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中文系</w:t>
            </w:r>
          </w:p>
        </w:tc>
        <w:tc>
          <w:tcPr>
            <w:tcW w:w="424"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490</w:t>
            </w:r>
          </w:p>
        </w:tc>
        <w:tc>
          <w:tcPr>
            <w:tcW w:w="42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413</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84.2</w:t>
            </w:r>
            <w:r>
              <w:rPr>
                <w:rFonts w:hint="eastAsia"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w:t>
            </w:r>
          </w:p>
        </w:tc>
        <w:tc>
          <w:tcPr>
            <w:tcW w:w="71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19.3</w:t>
            </w:r>
            <w:r>
              <w:rPr>
                <w:rFonts w:hint="eastAsia"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1.43%</w:t>
            </w:r>
          </w:p>
        </w:tc>
        <w:tc>
          <w:tcPr>
            <w:tcW w:w="535"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56.94%</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6.53%</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15.71%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体育系</w:t>
            </w:r>
          </w:p>
        </w:tc>
        <w:tc>
          <w:tcPr>
            <w:tcW w:w="42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267</w:t>
            </w:r>
          </w:p>
        </w:tc>
        <w:tc>
          <w:tcPr>
            <w:tcW w:w="42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225</w:t>
            </w:r>
          </w:p>
        </w:tc>
        <w:tc>
          <w:tcPr>
            <w:tcW w:w="6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84.2</w:t>
            </w:r>
            <w:r>
              <w:rPr>
                <w:rFonts w:hint="eastAsia" w:cs="Times New Roman"/>
                <w:i w:val="0"/>
                <w:iCs w:val="0"/>
                <w:color w:val="000000"/>
                <w:kern w:val="0"/>
                <w:sz w:val="22"/>
                <w:szCs w:val="22"/>
                <w:u w:val="none"/>
                <w:lang w:val="en-US" w:eastAsia="zh-CN" w:bidi="ar"/>
              </w:rPr>
              <w:t>7</w:t>
            </w:r>
            <w:r>
              <w:rPr>
                <w:rFonts w:hint="default" w:ascii="Times New Roman" w:hAnsi="Times New Roman" w:eastAsia="宋体" w:cs="Times New Roman"/>
                <w:i w:val="0"/>
                <w:iCs w:val="0"/>
                <w:color w:val="000000"/>
                <w:kern w:val="0"/>
                <w:sz w:val="22"/>
                <w:szCs w:val="22"/>
                <w:u w:val="none"/>
                <w:lang w:val="en-US" w:eastAsia="zh-CN" w:bidi="ar"/>
              </w:rPr>
              <w:t>%</w:t>
            </w:r>
          </w:p>
        </w:tc>
        <w:tc>
          <w:tcPr>
            <w:tcW w:w="71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41.5</w:t>
            </w:r>
            <w:r>
              <w:rPr>
                <w:rFonts w:hint="eastAsia" w:cs="Times New Roman"/>
                <w:i w:val="0"/>
                <w:iCs w:val="0"/>
                <w:color w:val="000000"/>
                <w:kern w:val="0"/>
                <w:sz w:val="22"/>
                <w:szCs w:val="22"/>
                <w:u w:val="none"/>
                <w:lang w:val="en-US" w:eastAsia="zh-CN" w:bidi="ar"/>
              </w:rPr>
              <w:t>7</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1.12%</w:t>
            </w:r>
          </w:p>
        </w:tc>
        <w:tc>
          <w:tcPr>
            <w:tcW w:w="53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36.70%</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4.8</w:t>
            </w:r>
            <w:r>
              <w:rPr>
                <w:rFonts w:hint="eastAsia" w:cs="Times New Roman"/>
                <w:i w:val="0"/>
                <w:iCs w:val="0"/>
                <w:color w:val="000000"/>
                <w:kern w:val="0"/>
                <w:sz w:val="22"/>
                <w:szCs w:val="22"/>
                <w:u w:val="none"/>
                <w:lang w:val="en-US" w:eastAsia="zh-CN" w:bidi="ar"/>
              </w:rPr>
              <w:t>7</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15.73%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机械系</w:t>
            </w:r>
          </w:p>
        </w:tc>
        <w:tc>
          <w:tcPr>
            <w:tcW w:w="424"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452</w:t>
            </w:r>
          </w:p>
        </w:tc>
        <w:tc>
          <w:tcPr>
            <w:tcW w:w="42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380</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84.0</w:t>
            </w:r>
            <w:r>
              <w:rPr>
                <w:rFonts w:hint="eastAsia" w:cs="Times New Roman"/>
                <w:i w:val="0"/>
                <w:iCs w:val="0"/>
                <w:color w:val="000000"/>
                <w:kern w:val="0"/>
                <w:sz w:val="22"/>
                <w:szCs w:val="22"/>
                <w:u w:val="none"/>
                <w:lang w:val="en-US" w:eastAsia="zh-CN" w:bidi="ar"/>
              </w:rPr>
              <w:t>7</w:t>
            </w:r>
            <w:r>
              <w:rPr>
                <w:rFonts w:hint="default" w:ascii="Times New Roman" w:hAnsi="Times New Roman" w:eastAsia="宋体" w:cs="Times New Roman"/>
                <w:i w:val="0"/>
                <w:iCs w:val="0"/>
                <w:color w:val="000000"/>
                <w:kern w:val="0"/>
                <w:sz w:val="22"/>
                <w:szCs w:val="22"/>
                <w:u w:val="none"/>
                <w:lang w:val="en-US" w:eastAsia="zh-CN" w:bidi="ar"/>
              </w:rPr>
              <w:t>%</w:t>
            </w:r>
          </w:p>
        </w:tc>
        <w:tc>
          <w:tcPr>
            <w:tcW w:w="71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38.7</w:t>
            </w:r>
            <w:r>
              <w:rPr>
                <w:rFonts w:hint="eastAsia" w:cs="Times New Roman"/>
                <w:i w:val="0"/>
                <w:iCs w:val="0"/>
                <w:color w:val="000000"/>
                <w:kern w:val="0"/>
                <w:sz w:val="22"/>
                <w:szCs w:val="22"/>
                <w:u w:val="none"/>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0.66%</w:t>
            </w:r>
          </w:p>
        </w:tc>
        <w:tc>
          <w:tcPr>
            <w:tcW w:w="535"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35.40%</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9.29%</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szCs w:val="22"/>
                <w:u w:color="auto"/>
              </w:rPr>
            </w:pPr>
            <w:r>
              <w:rPr>
                <w:rFonts w:hint="default" w:ascii="Times New Roman" w:hAnsi="Times New Roman" w:eastAsia="宋体" w:cs="Times New Roman"/>
                <w:i w:val="0"/>
                <w:iCs w:val="0"/>
                <w:color w:val="000000"/>
                <w:kern w:val="0"/>
                <w:sz w:val="22"/>
                <w:szCs w:val="22"/>
                <w:u w:val="none"/>
                <w:lang w:val="en-US" w:eastAsia="zh-CN" w:bidi="ar"/>
              </w:rPr>
              <w:t>15.9</w:t>
            </w:r>
            <w:r>
              <w:rPr>
                <w:rFonts w:hint="eastAsia" w:cs="Times New Roman"/>
                <w:i w:val="0"/>
                <w:iCs w:val="0"/>
                <w:color w:val="000000"/>
                <w:kern w:val="0"/>
                <w:sz w:val="22"/>
                <w:szCs w:val="22"/>
                <w:u w:val="none"/>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音乐系</w:t>
            </w:r>
          </w:p>
        </w:tc>
        <w:tc>
          <w:tcPr>
            <w:tcW w:w="42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275</w:t>
            </w:r>
          </w:p>
        </w:tc>
        <w:tc>
          <w:tcPr>
            <w:tcW w:w="42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231</w:t>
            </w:r>
          </w:p>
        </w:tc>
        <w:tc>
          <w:tcPr>
            <w:tcW w:w="6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84.00%</w:t>
            </w:r>
          </w:p>
        </w:tc>
        <w:tc>
          <w:tcPr>
            <w:tcW w:w="71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58.91%</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0.73%</w:t>
            </w:r>
          </w:p>
        </w:tc>
        <w:tc>
          <w:tcPr>
            <w:tcW w:w="53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22.55%</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1.81%</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数学系</w:t>
            </w:r>
          </w:p>
        </w:tc>
        <w:tc>
          <w:tcPr>
            <w:tcW w:w="424"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343</w:t>
            </w:r>
          </w:p>
        </w:tc>
        <w:tc>
          <w:tcPr>
            <w:tcW w:w="42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288</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83.97%</w:t>
            </w:r>
          </w:p>
        </w:tc>
        <w:tc>
          <w:tcPr>
            <w:tcW w:w="71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35.57%</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1.17%</w:t>
            </w:r>
          </w:p>
        </w:tc>
        <w:tc>
          <w:tcPr>
            <w:tcW w:w="535"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39.65%</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7.58%</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16.0</w:t>
            </w:r>
            <w:r>
              <w:rPr>
                <w:rFonts w:hint="eastAsia" w:cs="Times New Roman"/>
                <w:i w:val="0"/>
                <w:iCs w:val="0"/>
                <w:color w:val="000000"/>
                <w:kern w:val="0"/>
                <w:sz w:val="22"/>
                <w:szCs w:val="22"/>
                <w:u w:val="none"/>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美术系</w:t>
            </w:r>
          </w:p>
        </w:tc>
        <w:tc>
          <w:tcPr>
            <w:tcW w:w="42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379</w:t>
            </w:r>
          </w:p>
        </w:tc>
        <w:tc>
          <w:tcPr>
            <w:tcW w:w="42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316</w:t>
            </w:r>
          </w:p>
        </w:tc>
        <w:tc>
          <w:tcPr>
            <w:tcW w:w="6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83.3</w:t>
            </w:r>
            <w:r>
              <w:rPr>
                <w:rFonts w:hint="eastAsia" w:cs="Times New Roman"/>
                <w:i w:val="0"/>
                <w:iCs w:val="0"/>
                <w:color w:val="000000"/>
                <w:kern w:val="0"/>
                <w:sz w:val="22"/>
                <w:szCs w:val="22"/>
                <w:u w:val="none"/>
                <w:lang w:val="en-US" w:eastAsia="zh-CN" w:bidi="ar"/>
              </w:rPr>
              <w:t>8</w:t>
            </w:r>
            <w:r>
              <w:rPr>
                <w:rFonts w:hint="default" w:ascii="Times New Roman" w:hAnsi="Times New Roman" w:eastAsia="宋体" w:cs="Times New Roman"/>
                <w:i w:val="0"/>
                <w:iCs w:val="0"/>
                <w:color w:val="000000"/>
                <w:kern w:val="0"/>
                <w:sz w:val="22"/>
                <w:szCs w:val="22"/>
                <w:u w:val="none"/>
                <w:lang w:val="en-US" w:eastAsia="zh-CN" w:bidi="ar"/>
              </w:rPr>
              <w:t>%</w:t>
            </w:r>
          </w:p>
        </w:tc>
        <w:tc>
          <w:tcPr>
            <w:tcW w:w="71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45.12%</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0.79%</w:t>
            </w:r>
          </w:p>
        </w:tc>
        <w:tc>
          <w:tcPr>
            <w:tcW w:w="53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35.09%</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2.37%</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外语系</w:t>
            </w:r>
          </w:p>
        </w:tc>
        <w:tc>
          <w:tcPr>
            <w:tcW w:w="424"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260</w:t>
            </w:r>
          </w:p>
        </w:tc>
        <w:tc>
          <w:tcPr>
            <w:tcW w:w="42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216</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83.0</w:t>
            </w:r>
            <w:r>
              <w:rPr>
                <w:rFonts w:hint="eastAsia" w:cs="Times New Roman"/>
                <w:i w:val="0"/>
                <w:iCs w:val="0"/>
                <w:color w:val="000000"/>
                <w:kern w:val="0"/>
                <w:sz w:val="22"/>
                <w:szCs w:val="22"/>
                <w:u w:val="none"/>
                <w:lang w:val="en-US" w:eastAsia="zh-CN" w:bidi="ar"/>
              </w:rPr>
              <w:t>8</w:t>
            </w:r>
            <w:r>
              <w:rPr>
                <w:rFonts w:hint="default" w:ascii="Times New Roman" w:hAnsi="Times New Roman" w:eastAsia="宋体" w:cs="Times New Roman"/>
                <w:i w:val="0"/>
                <w:iCs w:val="0"/>
                <w:color w:val="000000"/>
                <w:kern w:val="0"/>
                <w:sz w:val="22"/>
                <w:szCs w:val="22"/>
                <w:u w:val="none"/>
                <w:lang w:val="en-US" w:eastAsia="zh-CN" w:bidi="ar"/>
              </w:rPr>
              <w:t>%</w:t>
            </w:r>
          </w:p>
        </w:tc>
        <w:tc>
          <w:tcPr>
            <w:tcW w:w="718"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17.6</w:t>
            </w:r>
            <w:r>
              <w:rPr>
                <w:rFonts w:hint="eastAsia"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0.77%</w:t>
            </w:r>
          </w:p>
        </w:tc>
        <w:tc>
          <w:tcPr>
            <w:tcW w:w="535"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55.77%</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8.85%</w:t>
            </w:r>
          </w:p>
        </w:tc>
        <w:tc>
          <w:tcPr>
            <w:tcW w:w="49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78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马克思主义学院(筹)</w:t>
            </w:r>
          </w:p>
        </w:tc>
        <w:tc>
          <w:tcPr>
            <w:tcW w:w="42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42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166</w:t>
            </w:r>
          </w:p>
        </w:tc>
        <w:tc>
          <w:tcPr>
            <w:tcW w:w="6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83.00%</w:t>
            </w:r>
          </w:p>
        </w:tc>
        <w:tc>
          <w:tcPr>
            <w:tcW w:w="71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24.50%</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eastAsia" w:cs="Times New Roman"/>
                <w:i w:val="0"/>
                <w:iCs w:val="0"/>
                <w:color w:val="000000"/>
                <w:kern w:val="0"/>
                <w:sz w:val="22"/>
                <w:szCs w:val="22"/>
                <w:u w:val="none"/>
                <w:lang w:val="en-US" w:eastAsia="zh-CN" w:bidi="ar"/>
              </w:rPr>
              <w:t>-</w:t>
            </w:r>
          </w:p>
        </w:tc>
        <w:tc>
          <w:tcPr>
            <w:tcW w:w="53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43.50%</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15.00%</w:t>
            </w:r>
          </w:p>
        </w:tc>
        <w:tc>
          <w:tcPr>
            <w:tcW w:w="49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17.00%</w:t>
            </w:r>
          </w:p>
        </w:tc>
      </w:tr>
    </w:tbl>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pageBreakBefore/>
        <w:numPr>
          <w:ilvl w:val="0"/>
          <w:numId w:val="90"/>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hint="default" w:ascii="Times New Roman" w:hAnsi="Times New Roman" w:cs="Times New Roman"/>
        </w:rPr>
      </w:pPr>
      <w:bookmarkStart w:id="108" w:name="_Toc22595"/>
      <w:r>
        <w:rPr>
          <w:rFonts w:hint="default" w:ascii="Times New Roman" w:hAnsi="Times New Roman" w:eastAsia="黑体" w:cs="Times New Roman"/>
          <w:b/>
          <w:color w:val="FFFFFF"/>
          <w:sz w:val="36"/>
          <w:u w:color="auto"/>
        </w:rPr>
        <w:t>附录二  各专业毕业去向落实率及毕业去向分布</w:t>
      </w:r>
      <w:bookmarkEnd w:id="108"/>
    </w:p>
    <w:p>
      <w:pPr>
        <w:rPr>
          <w:rFonts w:hint="default" w:ascii="Times New Roman" w:hAnsi="Times New Roman" w:cs="Times New Roman"/>
        </w:rPr>
      </w:pPr>
      <w:r>
        <w:rPr>
          <w:rFonts w:hint="default" w:ascii="Times New Roman" w:hAnsi="Times New Roman" w:cs="Times New Roman"/>
        </w:rPr>
        <w:t>
</w:t>
      </w:r>
    </w:p>
    <w:p>
      <w:pPr>
        <w:spacing w:line="360" w:lineRule="auto"/>
        <w:jc w:val="center"/>
        <w:rPr>
          <w:rFonts w:hint="default" w:ascii="Times New Roman" w:hAnsi="Times New Roman" w:cs="Times New Roman"/>
        </w:rPr>
      </w:pPr>
      <w:r>
        <w:rPr>
          <w:rFonts w:hint="eastAsia" w:cs="Times New Roman"/>
          <w:b/>
          <w:color w:val="0F6FC6"/>
          <w:sz w:val="21"/>
          <w:u w:color="auto"/>
          <w:lang w:val="en-US" w:eastAsia="zh-CN"/>
        </w:rPr>
        <w:t>附表2</w:t>
      </w:r>
      <w:r>
        <w:rPr>
          <w:rFonts w:hint="default" w:ascii="Times New Roman" w:hAnsi="Times New Roman" w:eastAsia="宋体" w:cs="Times New Roman"/>
          <w:b/>
          <w:color w:val="0F6FC6"/>
          <w:sz w:val="21"/>
          <w:u w:color="auto"/>
        </w:rPr>
        <w:t xml:space="preserve">  各专业毕业去向落实率及毕业去向分布</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610"/>
        <w:gridCol w:w="668"/>
        <w:gridCol w:w="699"/>
        <w:gridCol w:w="1113"/>
        <w:gridCol w:w="1113"/>
        <w:gridCol w:w="893"/>
        <w:gridCol w:w="1003"/>
        <w:gridCol w:w="893"/>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jc w:val="center"/>
        </w:trPr>
        <w:tc>
          <w:tcPr>
            <w:tcW w:w="899" w:type="pct"/>
            <w:shd w:val="clear" w:color="auto" w:fill="0F6FC6"/>
            <w:vAlign w:val="center"/>
          </w:tcPr>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专业</w:t>
            </w:r>
          </w:p>
        </w:tc>
        <w:tc>
          <w:tcPr>
            <w:tcW w:w="376"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总</w:t>
            </w:r>
          </w:p>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人数</w:t>
            </w:r>
          </w:p>
        </w:tc>
        <w:tc>
          <w:tcPr>
            <w:tcW w:w="393" w:type="pct"/>
            <w:shd w:val="clear" w:color="auto" w:fill="0F6FC6"/>
            <w:vAlign w:val="center"/>
          </w:tcPr>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就业人数</w:t>
            </w:r>
          </w:p>
        </w:tc>
        <w:tc>
          <w:tcPr>
            <w:tcW w:w="623" w:type="pct"/>
            <w:shd w:val="clear" w:color="auto" w:fill="0F6FC6"/>
            <w:vAlign w:val="center"/>
          </w:tcPr>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毕业去向落实率</w:t>
            </w:r>
          </w:p>
        </w:tc>
        <w:tc>
          <w:tcPr>
            <w:tcW w:w="623" w:type="pct"/>
            <w:shd w:val="clear" w:color="auto" w:fill="0F6FC6"/>
            <w:vAlign w:val="center"/>
          </w:tcPr>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协议和合同就业</w:t>
            </w:r>
          </w:p>
        </w:tc>
        <w:tc>
          <w:tcPr>
            <w:tcW w:w="490"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自主</w:t>
            </w:r>
          </w:p>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创业</w:t>
            </w:r>
          </w:p>
        </w:tc>
        <w:tc>
          <w:tcPr>
            <w:tcW w:w="551" w:type="pct"/>
            <w:shd w:val="clear" w:color="auto" w:fill="0F6FC6"/>
            <w:vAlign w:val="center"/>
          </w:tcPr>
          <w:p>
            <w:pPr>
              <w:jc w:val="center"/>
              <w:rPr>
                <w:rFonts w:hint="default" w:ascii="Times New Roman" w:hAnsi="Times New Roman" w:eastAsia="宋体" w:cs="Times New Roman"/>
                <w:b/>
                <w:color w:val="FFFFFF"/>
                <w:sz w:val="22"/>
                <w:u w:color="auto"/>
              </w:rPr>
            </w:pPr>
            <w:r>
              <w:rPr>
                <w:rFonts w:hint="default" w:ascii="Times New Roman" w:hAnsi="Times New Roman" w:eastAsia="宋体" w:cs="Times New Roman"/>
                <w:b/>
                <w:color w:val="FFFFFF"/>
                <w:sz w:val="22"/>
                <w:u w:color="auto"/>
              </w:rPr>
              <w:t>灵活</w:t>
            </w:r>
          </w:p>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就业</w:t>
            </w:r>
          </w:p>
        </w:tc>
        <w:tc>
          <w:tcPr>
            <w:tcW w:w="490" w:type="pct"/>
            <w:shd w:val="clear" w:color="auto" w:fill="0F6FC6"/>
            <w:vAlign w:val="center"/>
          </w:tcPr>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升学</w:t>
            </w:r>
          </w:p>
        </w:tc>
        <w:tc>
          <w:tcPr>
            <w:tcW w:w="551" w:type="pct"/>
            <w:shd w:val="clear" w:color="auto" w:fill="0F6FC6"/>
            <w:vAlign w:val="center"/>
          </w:tcPr>
          <w:p>
            <w:pPr>
              <w:jc w:val="center"/>
              <w:rPr>
                <w:rFonts w:hint="default" w:ascii="Times New Roman" w:hAnsi="Times New Roman" w:eastAsia="宋体" w:cs="Times New Roman"/>
                <w:sz w:val="22"/>
              </w:rPr>
            </w:pPr>
            <w:r>
              <w:rPr>
                <w:rFonts w:hint="default" w:ascii="Times New Roman" w:hAnsi="Times New Roman" w:eastAsia="宋体" w:cs="Times New Roman"/>
                <w:b/>
                <w:color w:val="FFFFFF"/>
                <w:sz w:val="22"/>
                <w:u w:color="auto"/>
              </w:rPr>
              <w:t>未就业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音乐表演</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书法学</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62.07%</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31.03%</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6.90%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机械工艺技术</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68</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94.12%</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14.70%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66.18%</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13.24%</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食品科学与工程</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93.47%</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34.78%</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34.78%</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23.91%</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汉语国际教育</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92</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92.00%</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43.00%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36.00%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会展经济与管理</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91.10%</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35.55%</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15.55%</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武术与民族传统体育</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90.33%</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38.71%</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9.68%</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38.71%</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3.23%</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文化产业管理</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90.26%</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12.20%</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31.71%</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39.03%</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7.32%</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电子科学与技术</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77</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69</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89.61%</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14.29%</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18.18%</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50.65%</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6.49%</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物联网工程</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87.75%</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40.81%</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40.82%</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6.12%</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7"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小学教育</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87.28%</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60.00%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1.82%</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23.64%</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1.82%</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财务管理</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216</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187</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86.56%</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41.66%</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1.39%</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36.11%</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7.40%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汉语言文学</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243</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210</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86.40%</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16.86%</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0.41%</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63.78%</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5.35%</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生物技术</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91</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78</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85.72%</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30.77%</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32.97%</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21.98%</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数据科学与大数据技术</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88</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85.23%</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eastAsia="zh-CN"/>
              </w:rPr>
            </w:pPr>
            <w:r>
              <w:rPr>
                <w:rFonts w:hint="default" w:ascii="Times New Roman" w:hAnsi="Times New Roman" w:eastAsia="宋体" w:cs="Times New Roman"/>
                <w:i w:val="0"/>
                <w:iCs w:val="0"/>
                <w:color w:val="000000"/>
                <w:kern w:val="0"/>
                <w:sz w:val="22"/>
                <w:szCs w:val="22"/>
                <w:u w:val="none"/>
                <w:lang w:val="en-US" w:eastAsia="zh-CN" w:bidi="ar"/>
              </w:rPr>
              <w:t>37.50%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1.14%</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35.23%</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11.36%</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复合材料与工程</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74</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85.13%</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32.43%</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28.38%</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24.32%</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音乐学</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161</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137</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85.09%</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77.02%</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0.62%</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4.97%</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2.48%</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人力资源管理</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93</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81</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84.95%</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35.49%</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44.08%</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5.38%</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应用化学</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73</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84.94%</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45.21%</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5.48%</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15.07%</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19.18%</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酒店管理</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159</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135</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84.91%</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43.40%</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38.99%</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2.52%</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信息与计算科学</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84.79%</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34.79%</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43.48%</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6.52%</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计算机科学与技术</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105</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89</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84.76%</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41.90%</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6.67%</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28.57%</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eastAsia="zh-CN"/>
              </w:rPr>
            </w:pPr>
            <w:r>
              <w:rPr>
                <w:rFonts w:hint="default" w:ascii="Times New Roman" w:hAnsi="Times New Roman" w:eastAsia="宋体" w:cs="Times New Roman"/>
                <w:i w:val="0"/>
                <w:iCs w:val="0"/>
                <w:color w:val="000000"/>
                <w:kern w:val="0"/>
                <w:sz w:val="22"/>
                <w:szCs w:val="22"/>
                <w:u w:val="none"/>
                <w:lang w:val="en-US" w:eastAsia="zh-CN" w:bidi="ar"/>
              </w:rPr>
              <w:t>7.62%</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sz w:val="22"/>
              </w:rPr>
            </w:pPr>
            <w:r>
              <w:rPr>
                <w:rFonts w:hint="default" w:ascii="Times New Roman" w:hAnsi="Times New Roman" w:eastAsia="宋体" w:cs="Times New Roman"/>
                <w:i w:val="0"/>
                <w:iCs w:val="0"/>
                <w:color w:val="000000"/>
                <w:kern w:val="0"/>
                <w:sz w:val="22"/>
                <w:szCs w:val="22"/>
                <w:u w:val="none"/>
                <w:lang w:val="en-US" w:eastAsia="zh-CN" w:bidi="ar"/>
              </w:rPr>
              <w:t>15.24%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学前教育</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236</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84.73%</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47.03%</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2.54%</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30.93%</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4.23%</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轨道交通信号与控制</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78</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84.61%</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52.56%</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19.23%</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12.82%</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化学</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104</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88</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84.60%</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23.07%</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1.92%</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46.15%</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13.46%</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汽车服务工程</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84.48%</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48.27%</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3.45%</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27.59%</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5.17%</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环境科学与工程</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84.20%</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23.68%</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5.26%</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23.68%</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31.58%</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网络工程</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107</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90</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84.11%</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36.44%</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1.87%</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40.19%</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5.61%</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思想政治教育</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198</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166</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83.86%</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24.77%</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43.94%</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15.15%</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体育教育</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236</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197</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41.94%</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36.44%</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5.08%</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英语</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186</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155</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83.33%</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13.44%</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60.75%</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9.14%</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数学与应用数学</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209</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174</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83.27%</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34.94%</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1.44%</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40.67%</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6.22%</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旅游管理</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82.61%</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32.61%</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翻译</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74</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82.43%</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28.38%</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2.70%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43.24%</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8.11%</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舞蹈学</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113</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93</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82.28%</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33.62%</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0.88%</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46.90%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0.88%</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视觉传达设计</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124</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102</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82.26%</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45.16%</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2.42%</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33.07%</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1.61%</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机械设计制造及其自动化</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140</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115</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82.15%</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39.29%</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36.43%</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6.43%</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美术学</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172</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141</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81.97%</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45.93%</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34.30%</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1.74%</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机械电子工程</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81.57%</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42.10%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2.63%</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26.31%</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10.53%</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物理学</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92</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81.52%</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33.70%</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5.43%</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29.35%</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13.04%</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环境设计</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81.47%</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33.33%</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44.44%</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生物科学</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151</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122</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80.79%</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16.55%</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39.74%</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24.50%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新闻学</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105</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84</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79.99%</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4.76%</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1.90%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64.76%</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8.57%</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自动化</w:t>
            </w:r>
          </w:p>
        </w:tc>
        <w:tc>
          <w:tcPr>
            <w:tcW w:w="376"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39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78.56%</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35.71%</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32.85%</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55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经济学</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76</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77.55%</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32.65%</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40.82%</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4.08%</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网络与新媒体</w:t>
            </w:r>
          </w:p>
        </w:tc>
        <w:tc>
          <w:tcPr>
            <w:tcW w:w="37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39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6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64.28%</w:t>
            </w:r>
          </w:p>
        </w:tc>
        <w:tc>
          <w:tcPr>
            <w:tcW w:w="6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14.28%</w:t>
            </w:r>
          </w:p>
        </w:tc>
        <w:tc>
          <w:tcPr>
            <w:tcW w:w="4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47.62%</w:t>
            </w:r>
          </w:p>
        </w:tc>
        <w:tc>
          <w:tcPr>
            <w:tcW w:w="4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2.38%</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行政管理</w:t>
            </w:r>
          </w:p>
        </w:tc>
        <w:tc>
          <w:tcPr>
            <w:tcW w:w="376"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9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623"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490"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89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历史学</w:t>
            </w:r>
          </w:p>
        </w:tc>
        <w:tc>
          <w:tcPr>
            <w:tcW w:w="37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9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6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6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4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4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spacing w:after="100" w:line="240" w:lineRule="auto"/>
        <w:rPr>
          <w:rFonts w:hint="default" w:ascii="Times New Roman" w:hAnsi="Times New Roman" w:eastAsia="宋体" w:cs="Times New Roman"/>
          <w:color w:val="0F6FC6"/>
          <w:sz w:val="18"/>
          <w:u w:color="auto"/>
        </w:rPr>
      </w:pPr>
      <w:r>
        <w:rPr>
          <w:rFonts w:hint="default" w:ascii="Times New Roman" w:hAnsi="Times New Roman" w:eastAsia="宋体" w:cs="Times New Roman"/>
          <w:color w:val="0F6FC6"/>
          <w:sz w:val="18"/>
          <w:u w:color="auto"/>
        </w:rPr>
        <w:t>数据来源：来自</w:t>
      </w:r>
      <w:r>
        <w:rPr>
          <w:rFonts w:hint="default" w:ascii="Times New Roman" w:hAnsi="Times New Roman" w:cs="Times New Roman"/>
          <w:color w:val="0F6FC6"/>
          <w:sz w:val="18"/>
          <w:u w:color="auto"/>
          <w:lang w:eastAsia="zh-CN"/>
        </w:rPr>
        <w:t>晋中学院</w:t>
      </w:r>
      <w:r>
        <w:rPr>
          <w:rFonts w:hint="default" w:ascii="Times New Roman" w:hAnsi="Times New Roman" w:eastAsia="宋体" w:cs="Times New Roman"/>
          <w:color w:val="0F6FC6"/>
          <w:sz w:val="18"/>
          <w:u w:color="auto"/>
        </w:rPr>
        <w:t>就业信息管理系统。</w:t>
      </w:r>
    </w:p>
    <w:p>
      <w:pPr>
        <w:spacing w:after="100" w:line="240" w:lineRule="auto"/>
        <w:rPr>
          <w:rFonts w:hint="default" w:ascii="Times New Roman" w:hAnsi="Times New Roman" w:cs="Times New Roman"/>
        </w:rPr>
      </w:pPr>
      <w:r>
        <w:rPr>
          <w:rFonts w:hint="default" w:ascii="Times New Roman" w:hAnsi="Times New Roman" w:eastAsia="宋体" w:cs="Times New Roman"/>
          <w:color w:val="0F6FC6"/>
          <w:sz w:val="18"/>
          <w:u w:color="auto"/>
        </w:rPr>
        <w:br w:type="page"/>
      </w:r>
      <w:r>
        <w:rPr>
          <w:rFonts w:hint="default"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-335915</wp:posOffset>
                </wp:positionH>
                <wp:positionV relativeFrom="paragraph">
                  <wp:posOffset>2464435</wp:posOffset>
                </wp:positionV>
                <wp:extent cx="6156960" cy="637540"/>
                <wp:effectExtent l="0" t="0" r="0" b="0"/>
                <wp:wrapNone/>
                <wp:docPr id="101" name="文本框 76"/>
                <wp:cNvGraphicFramePr/>
                <a:graphic xmlns:a="http://schemas.openxmlformats.org/drawingml/2006/main">
                  <a:graphicData uri="http://schemas.microsoft.com/office/word/2010/wordprocessingShape">
                    <wps:wsp>
                      <wps:cNvSpPr txBox="1"/>
                      <wps:spPr>
                        <a:xfrm>
                          <a:off x="0" y="0"/>
                          <a:ext cx="6156960" cy="637540"/>
                        </a:xfrm>
                        <a:prstGeom prst="rect">
                          <a:avLst/>
                        </a:prstGeom>
                        <a:noFill/>
                        <a:ln w="6350">
                          <a:noFill/>
                        </a:ln>
                        <a:effectLst/>
                      </wps:spPr>
                      <wps:txbx>
                        <w:txbxContent>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 w:cs="Times New Roman"/>
                                <w:b/>
                                <w:color w:val="000000" w:themeColor="text1"/>
                                <w:sz w:val="64"/>
                                <w:szCs w:val="64"/>
                                <w:lang w:val="en-US" w:eastAsia="zh-CN"/>
                                <w14:textFill>
                                  <w14:solidFill>
                                    <w14:schemeClr w14:val="tx1"/>
                                  </w14:solidFill>
                                </w14:textFill>
                              </w:rPr>
                            </w:pPr>
                            <w:r>
                              <w:rPr>
                                <w:rFonts w:hint="eastAsia" w:ascii="Times New Roman" w:hAnsi="Times New Roman" w:eastAsia="楷体" w:cs="Times New Roman"/>
                                <w:b/>
                                <w:bCs/>
                                <w:color w:val="000000" w:themeColor="text1"/>
                                <w:sz w:val="64"/>
                                <w:szCs w:val="64"/>
                                <w:lang w:val="en-US" w:eastAsia="zh-CN"/>
                                <w14:shadow w14:blurRad="50800" w14:dist="38100" w14:dir="2700000" w14:sx="100000" w14:sy="100000" w14:kx="0" w14:ky="0" w14:algn="tl">
                                  <w14:srgbClr w14:val="000000">
                                    <w14:alpha w14:val="60000"/>
                                  </w14:srgbClr>
                                </w14:shadow>
                                <w14:textFill>
                                  <w14:solidFill>
                                    <w14:schemeClr w14:val="tx1"/>
                                  </w14:solidFill>
                                </w14:textFill>
                              </w:rPr>
                              <w:t>明德 博学 经世 创新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6" o:spid="_x0000_s1026" o:spt="202" type="#_x0000_t202" style="position:absolute;left:0pt;margin-left:-26.45pt;margin-top:194.05pt;height:50.2pt;width:484.8pt;z-index:251680768;mso-width-relative:page;mso-height-relative:page;" filled="f" stroked="f" coordsize="21600,21600" o:gfxdata="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v7cm/cAAAACwEAAA8AAAAAAAAAAQAg&#10;AAAAIgAAAGRycy9kb3ducmV2LnhtbFBLAQIUABQAAAAIAIdO4kD742LZQwIAAHcEAAAOAAAAAAAA&#10;AAEAIAAAACsBAABkcnMvZTJvRG9jLnhtbFBLBQYAAAAABgAGAFkBAADgBQAAAAA=&#10;">
                <v:fill on="f" focussize="0,0"/>
                <v:stroke on="f" weight="0.5pt"/>
                <v:imagedata o:title=""/>
                <o:lock v:ext="edit" aspectratio="f"/>
                <v:textbox>
                  <w:txbxContent>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楷体" w:cs="Times New Roman"/>
                          <w:b/>
                          <w:color w:val="000000" w:themeColor="text1"/>
                          <w:sz w:val="64"/>
                          <w:szCs w:val="64"/>
                          <w:lang w:val="en-US" w:eastAsia="zh-CN"/>
                          <w14:textFill>
                            <w14:solidFill>
                              <w14:schemeClr w14:val="tx1"/>
                            </w14:solidFill>
                          </w14:textFill>
                        </w:rPr>
                      </w:pPr>
                      <w:r>
                        <w:rPr>
                          <w:rFonts w:hint="eastAsia" w:ascii="Times New Roman" w:hAnsi="Times New Roman" w:eastAsia="楷体" w:cs="Times New Roman"/>
                          <w:b/>
                          <w:bCs/>
                          <w:color w:val="000000" w:themeColor="text1"/>
                          <w:sz w:val="64"/>
                          <w:szCs w:val="64"/>
                          <w:lang w:val="en-US" w:eastAsia="zh-CN"/>
                          <w14:shadow w14:blurRad="50800" w14:dist="38100" w14:dir="2700000" w14:sx="100000" w14:sy="100000" w14:kx="0" w14:ky="0" w14:algn="tl">
                            <w14:srgbClr w14:val="000000">
                              <w14:alpha w14:val="60000"/>
                            </w14:srgbClr>
                          </w14:shadow>
                          <w14:textFill>
                            <w14:solidFill>
                              <w14:schemeClr w14:val="tx1"/>
                            </w14:solidFill>
                          </w14:textFill>
                        </w:rPr>
                        <w:t>明德 博学 经世 创新</w:t>
                      </w:r>
                    </w:p>
                  </w:txbxContent>
                </v:textbox>
              </v:shape>
            </w:pict>
          </mc:Fallback>
        </mc:AlternateContent>
      </w:r>
      <w:r>
        <w:rPr>
          <w:rFonts w:hint="default" w:ascii="Times New Roman" w:hAnsi="Times New Roman" w:cs="Times New Roman" w:eastAsiaTheme="minorEastAsia"/>
          <w:highlight w:val="none"/>
          <w:lang w:eastAsia="zh-CN"/>
        </w:rPr>
        <w:drawing>
          <wp:anchor distT="0" distB="0" distL="114300" distR="114300" simplePos="0" relativeHeight="251659264" behindDoc="1" locked="0" layoutInCell="1" allowOverlap="1">
            <wp:simplePos x="0" y="0"/>
            <wp:positionH relativeFrom="column">
              <wp:posOffset>-1087120</wp:posOffset>
            </wp:positionH>
            <wp:positionV relativeFrom="paragraph">
              <wp:posOffset>-898525</wp:posOffset>
            </wp:positionV>
            <wp:extent cx="7573010" cy="10702925"/>
            <wp:effectExtent l="0" t="0" r="8890" b="3175"/>
            <wp:wrapNone/>
            <wp:docPr id="171" name="图片 1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1"/>
                    <pic:cNvPicPr>
                      <a:picLocks noChangeAspect="1"/>
                    </pic:cNvPicPr>
                  </pic:nvPicPr>
                  <pic:blipFill>
                    <a:blip r:embed="rId18"/>
                    <a:srcRect r="50103"/>
                    <a:stretch>
                      <a:fillRect/>
                    </a:stretch>
                  </pic:blipFill>
                  <pic:spPr>
                    <a:xfrm>
                      <a:off x="0" y="0"/>
                      <a:ext cx="7573010" cy="10702925"/>
                    </a:xfrm>
                    <a:prstGeom prst="rect">
                      <a:avLst/>
                    </a:prstGeom>
                  </pic:spPr>
                </pic:pic>
              </a:graphicData>
            </a:graphic>
          </wp:anchor>
        </w:drawing>
      </w:r>
    </w:p>
    <w:sectPr>
      <w:footerReference r:id="rId16" w:type="default"/>
      <w:pgSz w:w="11906" w:h="16838"/>
      <w:pgMar w:top="1418" w:right="1418" w:bottom="1418" w:left="1701" w:header="850" w:footer="992"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fldChar w:fldCharType="begin"/>
                          </w:r>
                          <w:r>
                            <w:instrText xml:space="preserve">PAGE</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jc w:val="center"/>
                    </w:pPr>
                    <w:r>
                      <w:fldChar w:fldCharType="begin"/>
                    </w:r>
                    <w:r>
                      <w:instrText xml:space="preserve">PAGE</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9"/>
        <w:snapToGrid w:val="0"/>
        <w:rPr>
          <w:rFonts w:hint="default" w:eastAsia="宋体"/>
          <w:lang w:val="en-US" w:eastAsia="zh-CN"/>
        </w:rPr>
      </w:pPr>
      <w:r>
        <w:rPr>
          <w:rStyle w:val="16"/>
        </w:rPr>
        <w:footnoteRef/>
      </w:r>
      <w:r>
        <w:t xml:space="preserve"> </w:t>
      </w:r>
      <w:r>
        <w:rPr>
          <w:rFonts w:hint="eastAsia"/>
        </w:rPr>
        <w:t>其他企业</w:t>
      </w:r>
      <w:r>
        <w:rPr>
          <w:rFonts w:hint="eastAsia"/>
          <w:lang w:val="en-US" w:eastAsia="zh-CN"/>
        </w:rPr>
        <w:t>主要是指民营企业。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rPr>
        <w:rFonts w:hint="default"/>
        <w:sz w:val="21"/>
        <w:szCs w:val="28"/>
        <w:lang w:val="en-US"/>
      </w:rPr>
      <w:drawing>
        <wp:anchor distT="0" distB="0" distL="114300" distR="114300" simplePos="0" relativeHeight="251683840" behindDoc="1" locked="0" layoutInCell="1" allowOverlap="1">
          <wp:simplePos x="0" y="0"/>
          <wp:positionH relativeFrom="page">
            <wp:posOffset>3731260</wp:posOffset>
          </wp:positionH>
          <wp:positionV relativeFrom="page">
            <wp:posOffset>443865</wp:posOffset>
          </wp:positionV>
          <wp:extent cx="2696845" cy="283845"/>
          <wp:effectExtent l="0" t="0" r="8255" b="1905"/>
          <wp:wrapNone/>
          <wp:docPr id="116" name="图片 116" descr="资源 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资源 4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rot="10800000" flipV="1">
                    <a:off x="0" y="0"/>
                    <a:ext cx="2696845" cy="283845"/>
                  </a:xfrm>
                  <a:prstGeom prst="rect">
                    <a:avLst/>
                  </a:prstGeom>
                </pic:spPr>
              </pic:pic>
            </a:graphicData>
          </a:graphic>
        </wp:anchor>
      </w:drawing>
    </w:r>
    <w:r>
      <w:rPr>
        <w:rFonts w:hint="eastAsia"/>
        <w:sz w:val="21"/>
        <w:szCs w:val="28"/>
        <w:lang w:val="en-US" w:eastAsia="zh-CN"/>
      </w:rPr>
      <w:t>晋中学院</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lang w:val="en-US" w:eastAsia="zh-CN"/>
      </w:rPr>
      <w:t xml:space="preserve">                                                                                                                     </w:t>
    </w:r>
    <w:r>
      <w:rPr>
        <w:rFonts w:hint="default" w:ascii="Times New Roman" w:hAnsi="Times New Roman" w:eastAsia="宋体" w:cs="Times New Roman"/>
        <w:sz w:val="21"/>
        <w:szCs w:val="28"/>
        <w:lang w:val="en-US" w:eastAsia="zh-CN"/>
      </w:rPr>
      <w:t>2023届毕业生就业质量年度报告</w:t>
    </w:r>
    <w:r>
      <w:rPr>
        <w:rFonts w:hint="default"/>
        <w:sz w:val="21"/>
        <w:szCs w:val="28"/>
        <w:lang w:val="en-US"/>
      </w:rPr>
      <w:drawing>
        <wp:anchor distT="0" distB="0" distL="114300" distR="114300" simplePos="0" relativeHeight="251682816" behindDoc="1" locked="0" layoutInCell="1" allowOverlap="1">
          <wp:simplePos x="0" y="0"/>
          <wp:positionH relativeFrom="page">
            <wp:posOffset>1162050</wp:posOffset>
          </wp:positionH>
          <wp:positionV relativeFrom="page">
            <wp:posOffset>457200</wp:posOffset>
          </wp:positionV>
          <wp:extent cx="2696845" cy="283845"/>
          <wp:effectExtent l="0" t="0" r="8255" b="1905"/>
          <wp:wrapNone/>
          <wp:docPr id="104" name="图片 104" descr="资源 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资源 4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rot="10800000" flipH="1" flipV="1">
                    <a:off x="0" y="0"/>
                    <a:ext cx="2696845" cy="283845"/>
                  </a:xfrm>
                  <a:prstGeom prst="rect">
                    <a:avLst/>
                  </a:prstGeom>
                </pic:spPr>
              </pic:pic>
            </a:graphicData>
          </a:graphic>
        </wp:anchor>
      </w:drawing>
    </w:r>
  </w:p>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rPr>
        <w:rFonts w:hint="default"/>
        <w:sz w:val="21"/>
        <w:szCs w:val="28"/>
        <w:lang w:val="en-US"/>
      </w:rPr>
      <w:drawing>
        <wp:anchor distT="0" distB="0" distL="114300" distR="114300" simplePos="0" relativeHeight="251681792" behindDoc="1" locked="0" layoutInCell="1" allowOverlap="1">
          <wp:simplePos x="0" y="0"/>
          <wp:positionH relativeFrom="page">
            <wp:posOffset>3731260</wp:posOffset>
          </wp:positionH>
          <wp:positionV relativeFrom="page">
            <wp:posOffset>443865</wp:posOffset>
          </wp:positionV>
          <wp:extent cx="2696845" cy="283845"/>
          <wp:effectExtent l="0" t="0" r="8255" b="1905"/>
          <wp:wrapNone/>
          <wp:docPr id="72" name="图片 72" descr="资源 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资源 4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rot="10800000" flipV="1">
                    <a:off x="0" y="0"/>
                    <a:ext cx="2696845" cy="283845"/>
                  </a:xfrm>
                  <a:prstGeom prst="rect">
                    <a:avLst/>
                  </a:prstGeom>
                </pic:spPr>
              </pic:pic>
            </a:graphicData>
          </a:graphic>
        </wp:anchor>
      </w:drawing>
    </w:r>
    <w:r>
      <w:rPr>
        <w:rFonts w:hint="eastAsia"/>
        <w:sz w:val="21"/>
        <w:szCs w:val="28"/>
        <w:lang w:val="en-US" w:eastAsia="zh-CN"/>
      </w:rPr>
      <w:t>晋中学院</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94F45"/>
    <w:multiLevelType w:val="multilevel"/>
    <w:tmpl w:val="84994F4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891523D9"/>
    <w:multiLevelType w:val="multilevel"/>
    <w:tmpl w:val="891523D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9017BA21"/>
    <w:multiLevelType w:val="multilevel"/>
    <w:tmpl w:val="9017BA2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90D96B34"/>
    <w:multiLevelType w:val="multilevel"/>
    <w:tmpl w:val="90D96B3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92C4F22A"/>
    <w:multiLevelType w:val="multilevel"/>
    <w:tmpl w:val="92C4F22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930EE254"/>
    <w:multiLevelType w:val="multilevel"/>
    <w:tmpl w:val="930EE25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952530A5"/>
    <w:multiLevelType w:val="multilevel"/>
    <w:tmpl w:val="952530A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96E5236C"/>
    <w:multiLevelType w:val="multilevel"/>
    <w:tmpl w:val="96E5236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9B1F845E"/>
    <w:multiLevelType w:val="multilevel"/>
    <w:tmpl w:val="9B1F845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9C919DE1"/>
    <w:multiLevelType w:val="multilevel"/>
    <w:tmpl w:val="9C919DE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9CD0C84A"/>
    <w:multiLevelType w:val="multilevel"/>
    <w:tmpl w:val="9CD0C84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9D9F4F4D"/>
    <w:multiLevelType w:val="multilevel"/>
    <w:tmpl w:val="9D9F4F4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9F91FE98"/>
    <w:multiLevelType w:val="multilevel"/>
    <w:tmpl w:val="9F91FE9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A0F25EF7"/>
    <w:multiLevelType w:val="multilevel"/>
    <w:tmpl w:val="A0F25EF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A362769C"/>
    <w:multiLevelType w:val="multilevel"/>
    <w:tmpl w:val="A362769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AAF3F3FA"/>
    <w:multiLevelType w:val="multilevel"/>
    <w:tmpl w:val="AAF3F3F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AC38AFEB"/>
    <w:multiLevelType w:val="multilevel"/>
    <w:tmpl w:val="AC38AFE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AD37AD84"/>
    <w:multiLevelType w:val="multilevel"/>
    <w:tmpl w:val="AD37AD8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AF139D7D"/>
    <w:multiLevelType w:val="multilevel"/>
    <w:tmpl w:val="AF139D7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B0082E4F"/>
    <w:multiLevelType w:val="multilevel"/>
    <w:tmpl w:val="B0082E4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B15ABE86"/>
    <w:multiLevelType w:val="multilevel"/>
    <w:tmpl w:val="B15ABE8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B5601969"/>
    <w:multiLevelType w:val="multilevel"/>
    <w:tmpl w:val="B560196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B5CF74F5"/>
    <w:multiLevelType w:val="multilevel"/>
    <w:tmpl w:val="B5CF74F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B99465BD"/>
    <w:multiLevelType w:val="multilevel"/>
    <w:tmpl w:val="B99465B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BA550FDB"/>
    <w:multiLevelType w:val="multilevel"/>
    <w:tmpl w:val="BA550FD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BC837A95"/>
    <w:multiLevelType w:val="multilevel"/>
    <w:tmpl w:val="BC837A9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C4EA4DBF"/>
    <w:multiLevelType w:val="multilevel"/>
    <w:tmpl w:val="C4EA4DB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C560BE57"/>
    <w:multiLevelType w:val="multilevel"/>
    <w:tmpl w:val="C560BE5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
    <w:nsid w:val="C9C05784"/>
    <w:multiLevelType w:val="multilevel"/>
    <w:tmpl w:val="C9C0578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CB0CECA5"/>
    <w:multiLevelType w:val="multilevel"/>
    <w:tmpl w:val="CB0CECA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CB94649F"/>
    <w:multiLevelType w:val="multilevel"/>
    <w:tmpl w:val="CB94649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D2B2DAFD"/>
    <w:multiLevelType w:val="multilevel"/>
    <w:tmpl w:val="D2B2DAF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D42187FE"/>
    <w:multiLevelType w:val="multilevel"/>
    <w:tmpl w:val="D42187F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D5F12F34"/>
    <w:multiLevelType w:val="multilevel"/>
    <w:tmpl w:val="D5F12F3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DAF63FD3"/>
    <w:multiLevelType w:val="multilevel"/>
    <w:tmpl w:val="DAF63FD3"/>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
    <w:nsid w:val="DD02F921"/>
    <w:multiLevelType w:val="multilevel"/>
    <w:tmpl w:val="DD02F92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
    <w:nsid w:val="DD3DB379"/>
    <w:multiLevelType w:val="multilevel"/>
    <w:tmpl w:val="DD3DB37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
    <w:nsid w:val="DD474A30"/>
    <w:multiLevelType w:val="multilevel"/>
    <w:tmpl w:val="DD474A3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
    <w:nsid w:val="E4D85DB5"/>
    <w:multiLevelType w:val="multilevel"/>
    <w:tmpl w:val="E4D85DB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E6E98F67"/>
    <w:multiLevelType w:val="multilevel"/>
    <w:tmpl w:val="E6E98F6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E887D337"/>
    <w:multiLevelType w:val="multilevel"/>
    <w:tmpl w:val="E887D33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E93EBC56"/>
    <w:multiLevelType w:val="multilevel"/>
    <w:tmpl w:val="E93EBC5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
    <w:nsid w:val="EFCECDC7"/>
    <w:multiLevelType w:val="multilevel"/>
    <w:tmpl w:val="EFCECDC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
    <w:nsid w:val="F30FC083"/>
    <w:multiLevelType w:val="multilevel"/>
    <w:tmpl w:val="F30FC083"/>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F411B296"/>
    <w:multiLevelType w:val="multilevel"/>
    <w:tmpl w:val="F411B29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
    <w:nsid w:val="F8949042"/>
    <w:multiLevelType w:val="multilevel"/>
    <w:tmpl w:val="F894904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6">
    <w:nsid w:val="F97CED97"/>
    <w:multiLevelType w:val="multilevel"/>
    <w:tmpl w:val="F97CED9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7">
    <w:nsid w:val="FCC85EE2"/>
    <w:multiLevelType w:val="multilevel"/>
    <w:tmpl w:val="FCC85EE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8">
    <w:nsid w:val="0039509F"/>
    <w:multiLevelType w:val="multilevel"/>
    <w:tmpl w:val="0039509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9">
    <w:nsid w:val="0258E135"/>
    <w:multiLevelType w:val="multilevel"/>
    <w:tmpl w:val="0258E13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0">
    <w:nsid w:val="025EB27A"/>
    <w:multiLevelType w:val="multilevel"/>
    <w:tmpl w:val="025EB27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1">
    <w:nsid w:val="03EF4B97"/>
    <w:multiLevelType w:val="multilevel"/>
    <w:tmpl w:val="03EF4B9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2">
    <w:nsid w:val="04C1F4F1"/>
    <w:multiLevelType w:val="multilevel"/>
    <w:tmpl w:val="04C1F4F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3">
    <w:nsid w:val="07F2E950"/>
    <w:multiLevelType w:val="multilevel"/>
    <w:tmpl w:val="07F2E95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4">
    <w:nsid w:val="0CCB9E98"/>
    <w:multiLevelType w:val="multilevel"/>
    <w:tmpl w:val="0CCB9E9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5">
    <w:nsid w:val="0DBDD408"/>
    <w:multiLevelType w:val="multilevel"/>
    <w:tmpl w:val="0DBDD40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6">
    <w:nsid w:val="0F929F01"/>
    <w:multiLevelType w:val="multilevel"/>
    <w:tmpl w:val="0F929F0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7">
    <w:nsid w:val="10502DFD"/>
    <w:multiLevelType w:val="multilevel"/>
    <w:tmpl w:val="10502DF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8">
    <w:nsid w:val="13660E3F"/>
    <w:multiLevelType w:val="multilevel"/>
    <w:tmpl w:val="13660E3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9">
    <w:nsid w:val="17371721"/>
    <w:multiLevelType w:val="multilevel"/>
    <w:tmpl w:val="1737172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0">
    <w:nsid w:val="192B173A"/>
    <w:multiLevelType w:val="multilevel"/>
    <w:tmpl w:val="192B173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1">
    <w:nsid w:val="1C01D09A"/>
    <w:multiLevelType w:val="multilevel"/>
    <w:tmpl w:val="1C01D09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2">
    <w:nsid w:val="1DEB737C"/>
    <w:multiLevelType w:val="multilevel"/>
    <w:tmpl w:val="1DEB737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3">
    <w:nsid w:val="249218D2"/>
    <w:multiLevelType w:val="multilevel"/>
    <w:tmpl w:val="249218D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4">
    <w:nsid w:val="2C9424EE"/>
    <w:multiLevelType w:val="multilevel"/>
    <w:tmpl w:val="2C9424E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5">
    <w:nsid w:val="311F749C"/>
    <w:multiLevelType w:val="multilevel"/>
    <w:tmpl w:val="311F749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6">
    <w:nsid w:val="3287CD95"/>
    <w:multiLevelType w:val="multilevel"/>
    <w:tmpl w:val="3287CD9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7">
    <w:nsid w:val="329A4FD1"/>
    <w:multiLevelType w:val="multilevel"/>
    <w:tmpl w:val="329A4FD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8">
    <w:nsid w:val="333E8B90"/>
    <w:multiLevelType w:val="multilevel"/>
    <w:tmpl w:val="333E8B9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9">
    <w:nsid w:val="3664A4D1"/>
    <w:multiLevelType w:val="multilevel"/>
    <w:tmpl w:val="3664A4D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0">
    <w:nsid w:val="429CD0B5"/>
    <w:multiLevelType w:val="multilevel"/>
    <w:tmpl w:val="429CD0B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1">
    <w:nsid w:val="43D68054"/>
    <w:multiLevelType w:val="multilevel"/>
    <w:tmpl w:val="43D6805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2">
    <w:nsid w:val="446EAEE1"/>
    <w:multiLevelType w:val="multilevel"/>
    <w:tmpl w:val="446EAEE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3">
    <w:nsid w:val="4E709187"/>
    <w:multiLevelType w:val="multilevel"/>
    <w:tmpl w:val="4E70918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4">
    <w:nsid w:val="4EA76503"/>
    <w:multiLevelType w:val="multilevel"/>
    <w:tmpl w:val="4EA76503"/>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5">
    <w:nsid w:val="4F00C6B4"/>
    <w:multiLevelType w:val="multilevel"/>
    <w:tmpl w:val="4F00C6B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6">
    <w:nsid w:val="4FB438A5"/>
    <w:multiLevelType w:val="multilevel"/>
    <w:tmpl w:val="4FB438A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7">
    <w:nsid w:val="568750A4"/>
    <w:multiLevelType w:val="multilevel"/>
    <w:tmpl w:val="568750A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8">
    <w:nsid w:val="57DED440"/>
    <w:multiLevelType w:val="multilevel"/>
    <w:tmpl w:val="57DED44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9">
    <w:nsid w:val="598DAF6D"/>
    <w:multiLevelType w:val="multilevel"/>
    <w:tmpl w:val="598DAF6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0">
    <w:nsid w:val="59ADCABA"/>
    <w:multiLevelType w:val="multilevel"/>
    <w:tmpl w:val="59ADCAB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1">
    <w:nsid w:val="5A8377A7"/>
    <w:multiLevelType w:val="multilevel"/>
    <w:tmpl w:val="5A8377A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2">
    <w:nsid w:val="5F098F1B"/>
    <w:multiLevelType w:val="multilevel"/>
    <w:tmpl w:val="5F098F1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3">
    <w:nsid w:val="63B12E74"/>
    <w:multiLevelType w:val="multilevel"/>
    <w:tmpl w:val="63B12E7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4">
    <w:nsid w:val="64C0CB79"/>
    <w:multiLevelType w:val="multilevel"/>
    <w:tmpl w:val="64C0CB7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5">
    <w:nsid w:val="651422BE"/>
    <w:multiLevelType w:val="multilevel"/>
    <w:tmpl w:val="651422B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6">
    <w:nsid w:val="70AE371C"/>
    <w:multiLevelType w:val="multilevel"/>
    <w:tmpl w:val="70AE371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7">
    <w:nsid w:val="70F95E71"/>
    <w:multiLevelType w:val="multilevel"/>
    <w:tmpl w:val="70F95E7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8">
    <w:nsid w:val="744F3566"/>
    <w:multiLevelType w:val="multilevel"/>
    <w:tmpl w:val="744F356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9">
    <w:nsid w:val="773C851D"/>
    <w:multiLevelType w:val="multilevel"/>
    <w:tmpl w:val="773C851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30"/>
  </w:num>
  <w:num w:numId="2">
    <w:abstractNumId w:val="83"/>
  </w:num>
  <w:num w:numId="3">
    <w:abstractNumId w:val="15"/>
  </w:num>
  <w:num w:numId="4">
    <w:abstractNumId w:val="67"/>
  </w:num>
  <w:num w:numId="5">
    <w:abstractNumId w:val="80"/>
  </w:num>
  <w:num w:numId="6">
    <w:abstractNumId w:val="88"/>
  </w:num>
  <w:num w:numId="7">
    <w:abstractNumId w:val="87"/>
  </w:num>
  <w:num w:numId="8">
    <w:abstractNumId w:val="33"/>
  </w:num>
  <w:num w:numId="9">
    <w:abstractNumId w:val="43"/>
  </w:num>
  <w:num w:numId="10">
    <w:abstractNumId w:val="47"/>
  </w:num>
  <w:num w:numId="11">
    <w:abstractNumId w:val="5"/>
  </w:num>
  <w:num w:numId="12">
    <w:abstractNumId w:val="21"/>
  </w:num>
  <w:num w:numId="13">
    <w:abstractNumId w:val="70"/>
  </w:num>
  <w:num w:numId="14">
    <w:abstractNumId w:val="22"/>
  </w:num>
  <w:num w:numId="15">
    <w:abstractNumId w:val="84"/>
  </w:num>
  <w:num w:numId="16">
    <w:abstractNumId w:val="75"/>
  </w:num>
  <w:num w:numId="17">
    <w:abstractNumId w:val="81"/>
  </w:num>
  <w:num w:numId="18">
    <w:abstractNumId w:val="25"/>
  </w:num>
  <w:num w:numId="19">
    <w:abstractNumId w:val="68"/>
  </w:num>
  <w:num w:numId="20">
    <w:abstractNumId w:val="19"/>
  </w:num>
  <w:num w:numId="21">
    <w:abstractNumId w:val="41"/>
  </w:num>
  <w:num w:numId="22">
    <w:abstractNumId w:val="61"/>
  </w:num>
  <w:num w:numId="23">
    <w:abstractNumId w:val="0"/>
  </w:num>
  <w:num w:numId="24">
    <w:abstractNumId w:val="58"/>
  </w:num>
  <w:num w:numId="25">
    <w:abstractNumId w:val="74"/>
  </w:num>
  <w:num w:numId="26">
    <w:abstractNumId w:val="85"/>
  </w:num>
  <w:num w:numId="27">
    <w:abstractNumId w:val="23"/>
  </w:num>
  <w:num w:numId="28">
    <w:abstractNumId w:val="11"/>
  </w:num>
  <w:num w:numId="29">
    <w:abstractNumId w:val="60"/>
  </w:num>
  <w:num w:numId="30">
    <w:abstractNumId w:val="46"/>
  </w:num>
  <w:num w:numId="31">
    <w:abstractNumId w:val="24"/>
  </w:num>
  <w:num w:numId="32">
    <w:abstractNumId w:val="20"/>
  </w:num>
  <w:num w:numId="33">
    <w:abstractNumId w:val="54"/>
  </w:num>
  <w:num w:numId="34">
    <w:abstractNumId w:val="56"/>
  </w:num>
  <w:num w:numId="35">
    <w:abstractNumId w:val="69"/>
  </w:num>
  <w:num w:numId="36">
    <w:abstractNumId w:val="49"/>
  </w:num>
  <w:num w:numId="37">
    <w:abstractNumId w:val="8"/>
  </w:num>
  <w:num w:numId="38">
    <w:abstractNumId w:val="79"/>
  </w:num>
  <w:num w:numId="39">
    <w:abstractNumId w:val="12"/>
  </w:num>
  <w:num w:numId="40">
    <w:abstractNumId w:val="2"/>
  </w:num>
  <w:num w:numId="41">
    <w:abstractNumId w:val="73"/>
  </w:num>
  <w:num w:numId="42">
    <w:abstractNumId w:val="10"/>
  </w:num>
  <w:num w:numId="43">
    <w:abstractNumId w:val="53"/>
  </w:num>
  <w:num w:numId="44">
    <w:abstractNumId w:val="42"/>
  </w:num>
  <w:num w:numId="45">
    <w:abstractNumId w:val="9"/>
  </w:num>
  <w:num w:numId="46">
    <w:abstractNumId w:val="6"/>
  </w:num>
  <w:num w:numId="47">
    <w:abstractNumId w:val="29"/>
  </w:num>
  <w:num w:numId="48">
    <w:abstractNumId w:val="7"/>
  </w:num>
  <w:num w:numId="49">
    <w:abstractNumId w:val="16"/>
  </w:num>
  <w:num w:numId="50">
    <w:abstractNumId w:val="72"/>
  </w:num>
  <w:num w:numId="51">
    <w:abstractNumId w:val="27"/>
  </w:num>
  <w:num w:numId="52">
    <w:abstractNumId w:val="62"/>
  </w:num>
  <w:num w:numId="53">
    <w:abstractNumId w:val="38"/>
  </w:num>
  <w:num w:numId="54">
    <w:abstractNumId w:val="39"/>
  </w:num>
  <w:num w:numId="55">
    <w:abstractNumId w:val="66"/>
  </w:num>
  <w:num w:numId="56">
    <w:abstractNumId w:val="44"/>
  </w:num>
  <w:num w:numId="57">
    <w:abstractNumId w:val="13"/>
  </w:num>
  <w:num w:numId="58">
    <w:abstractNumId w:val="71"/>
  </w:num>
  <w:num w:numId="59">
    <w:abstractNumId w:val="28"/>
  </w:num>
  <w:num w:numId="60">
    <w:abstractNumId w:val="34"/>
  </w:num>
  <w:num w:numId="61">
    <w:abstractNumId w:val="76"/>
  </w:num>
  <w:num w:numId="62">
    <w:abstractNumId w:val="4"/>
  </w:num>
  <w:num w:numId="63">
    <w:abstractNumId w:val="65"/>
  </w:num>
  <w:num w:numId="64">
    <w:abstractNumId w:val="51"/>
  </w:num>
  <w:num w:numId="65">
    <w:abstractNumId w:val="64"/>
  </w:num>
  <w:num w:numId="66">
    <w:abstractNumId w:val="17"/>
  </w:num>
  <w:num w:numId="67">
    <w:abstractNumId w:val="82"/>
  </w:num>
  <w:num w:numId="68">
    <w:abstractNumId w:val="14"/>
  </w:num>
  <w:num w:numId="69">
    <w:abstractNumId w:val="45"/>
  </w:num>
  <w:num w:numId="70">
    <w:abstractNumId w:val="26"/>
  </w:num>
  <w:num w:numId="71">
    <w:abstractNumId w:val="50"/>
  </w:num>
  <w:num w:numId="72">
    <w:abstractNumId w:val="78"/>
  </w:num>
  <w:num w:numId="73">
    <w:abstractNumId w:val="59"/>
  </w:num>
  <w:num w:numId="74">
    <w:abstractNumId w:val="77"/>
  </w:num>
  <w:num w:numId="75">
    <w:abstractNumId w:val="1"/>
  </w:num>
  <w:num w:numId="76">
    <w:abstractNumId w:val="89"/>
  </w:num>
  <w:num w:numId="77">
    <w:abstractNumId w:val="35"/>
  </w:num>
  <w:num w:numId="78">
    <w:abstractNumId w:val="3"/>
  </w:num>
  <w:num w:numId="79">
    <w:abstractNumId w:val="36"/>
  </w:num>
  <w:num w:numId="80">
    <w:abstractNumId w:val="37"/>
  </w:num>
  <w:num w:numId="81">
    <w:abstractNumId w:val="32"/>
  </w:num>
  <w:num w:numId="82">
    <w:abstractNumId w:val="40"/>
  </w:num>
  <w:num w:numId="83">
    <w:abstractNumId w:val="86"/>
  </w:num>
  <w:num w:numId="84">
    <w:abstractNumId w:val="31"/>
  </w:num>
  <w:num w:numId="85">
    <w:abstractNumId w:val="48"/>
  </w:num>
  <w:num w:numId="86">
    <w:abstractNumId w:val="57"/>
  </w:num>
  <w:num w:numId="87">
    <w:abstractNumId w:val="18"/>
  </w:num>
  <w:num w:numId="88">
    <w:abstractNumId w:val="63"/>
  </w:num>
  <w:num w:numId="89">
    <w:abstractNumId w:val="52"/>
  </w:num>
  <w:num w:numId="90">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evenAndOddHeaders w:val="1"/>
  <w:displayHorizontalDrawingGridEvery w:val="1"/>
  <w:displayVerticalDrawingGridEvery w:val="1"/>
  <w:noPunctuationKerning w:val="1"/>
  <w:footnotePr>
    <w:footnote w:id="2"/>
    <w:footnote w:id="3"/>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3YTg4ZjAyODI5MmYyMzk1MTFiZTgwNTU0Y2IzNGIifQ=="/>
  </w:docVars>
  <w:rsids>
    <w:rsidRoot w:val="00000000"/>
    <w:rsid w:val="004A0487"/>
    <w:rsid w:val="00C50B26"/>
    <w:rsid w:val="012F41F1"/>
    <w:rsid w:val="0156352C"/>
    <w:rsid w:val="021B4775"/>
    <w:rsid w:val="0236671B"/>
    <w:rsid w:val="023B0973"/>
    <w:rsid w:val="03011BBD"/>
    <w:rsid w:val="03360E99"/>
    <w:rsid w:val="03B7675D"/>
    <w:rsid w:val="0406004A"/>
    <w:rsid w:val="04B2316F"/>
    <w:rsid w:val="04D74983"/>
    <w:rsid w:val="04DA26C6"/>
    <w:rsid w:val="05096B07"/>
    <w:rsid w:val="063A78C0"/>
    <w:rsid w:val="06587D46"/>
    <w:rsid w:val="0681614C"/>
    <w:rsid w:val="071A2BD9"/>
    <w:rsid w:val="071F2612"/>
    <w:rsid w:val="075F6EB2"/>
    <w:rsid w:val="07F40498"/>
    <w:rsid w:val="07F615C4"/>
    <w:rsid w:val="08017F69"/>
    <w:rsid w:val="087E499B"/>
    <w:rsid w:val="088A4403"/>
    <w:rsid w:val="08A302D0"/>
    <w:rsid w:val="08DF4B8D"/>
    <w:rsid w:val="08FD2884"/>
    <w:rsid w:val="09B94F9F"/>
    <w:rsid w:val="09D45935"/>
    <w:rsid w:val="0A0F2E11"/>
    <w:rsid w:val="0A0F49FB"/>
    <w:rsid w:val="0A116B8A"/>
    <w:rsid w:val="0A97461C"/>
    <w:rsid w:val="0AB614DF"/>
    <w:rsid w:val="0AD374C8"/>
    <w:rsid w:val="0AF02C43"/>
    <w:rsid w:val="0B1D155E"/>
    <w:rsid w:val="0B2B7A41"/>
    <w:rsid w:val="0B2E55BC"/>
    <w:rsid w:val="0B52474C"/>
    <w:rsid w:val="0BF3436E"/>
    <w:rsid w:val="0C3D3FF4"/>
    <w:rsid w:val="0C590374"/>
    <w:rsid w:val="0CC51EAD"/>
    <w:rsid w:val="0D1349C7"/>
    <w:rsid w:val="0D4D3563"/>
    <w:rsid w:val="0D4E75B4"/>
    <w:rsid w:val="0DBA6674"/>
    <w:rsid w:val="0E3C7F4D"/>
    <w:rsid w:val="0E5C443D"/>
    <w:rsid w:val="0EA1730C"/>
    <w:rsid w:val="0EC73CBB"/>
    <w:rsid w:val="0F985657"/>
    <w:rsid w:val="0FAB0EE6"/>
    <w:rsid w:val="10F22777"/>
    <w:rsid w:val="11301FEB"/>
    <w:rsid w:val="11C447CC"/>
    <w:rsid w:val="12185ED6"/>
    <w:rsid w:val="12980212"/>
    <w:rsid w:val="12A83F3F"/>
    <w:rsid w:val="12FC7CAB"/>
    <w:rsid w:val="138F0B1F"/>
    <w:rsid w:val="141F00F5"/>
    <w:rsid w:val="14B65EB3"/>
    <w:rsid w:val="14BC1DE8"/>
    <w:rsid w:val="14CE5E51"/>
    <w:rsid w:val="15673B02"/>
    <w:rsid w:val="156E58D3"/>
    <w:rsid w:val="15744470"/>
    <w:rsid w:val="15966195"/>
    <w:rsid w:val="15E909BB"/>
    <w:rsid w:val="160475A2"/>
    <w:rsid w:val="161812A0"/>
    <w:rsid w:val="1651030E"/>
    <w:rsid w:val="168357F5"/>
    <w:rsid w:val="1686445B"/>
    <w:rsid w:val="1703020F"/>
    <w:rsid w:val="173834E0"/>
    <w:rsid w:val="17465999"/>
    <w:rsid w:val="179E3A27"/>
    <w:rsid w:val="17B85695"/>
    <w:rsid w:val="18C93048"/>
    <w:rsid w:val="18E626B8"/>
    <w:rsid w:val="19C50D1F"/>
    <w:rsid w:val="19E24B13"/>
    <w:rsid w:val="1A55661F"/>
    <w:rsid w:val="1AD559B1"/>
    <w:rsid w:val="1AD70716"/>
    <w:rsid w:val="1AF44089"/>
    <w:rsid w:val="1B1E1106"/>
    <w:rsid w:val="1B3D7D80"/>
    <w:rsid w:val="1BB83309"/>
    <w:rsid w:val="1BCE1C4E"/>
    <w:rsid w:val="1BD042EB"/>
    <w:rsid w:val="1BE23FA7"/>
    <w:rsid w:val="1C1555B5"/>
    <w:rsid w:val="1C480C71"/>
    <w:rsid w:val="1CF76D2F"/>
    <w:rsid w:val="1CFC0FD3"/>
    <w:rsid w:val="1D2A06BD"/>
    <w:rsid w:val="1EB63404"/>
    <w:rsid w:val="1EE821C5"/>
    <w:rsid w:val="1F040613"/>
    <w:rsid w:val="1F0979D8"/>
    <w:rsid w:val="1F460C2C"/>
    <w:rsid w:val="201A3835"/>
    <w:rsid w:val="20656456"/>
    <w:rsid w:val="20784E15"/>
    <w:rsid w:val="20F36B91"/>
    <w:rsid w:val="216A30E1"/>
    <w:rsid w:val="217C1ABF"/>
    <w:rsid w:val="217F0729"/>
    <w:rsid w:val="21A33643"/>
    <w:rsid w:val="21AD0AEE"/>
    <w:rsid w:val="21B84BEB"/>
    <w:rsid w:val="220646A2"/>
    <w:rsid w:val="2248070B"/>
    <w:rsid w:val="22493A67"/>
    <w:rsid w:val="226A6B50"/>
    <w:rsid w:val="22DD3655"/>
    <w:rsid w:val="239D567C"/>
    <w:rsid w:val="24101808"/>
    <w:rsid w:val="241C39CC"/>
    <w:rsid w:val="24D665AE"/>
    <w:rsid w:val="25CF06E2"/>
    <w:rsid w:val="26084E8D"/>
    <w:rsid w:val="26162C1E"/>
    <w:rsid w:val="26C912D8"/>
    <w:rsid w:val="275F0ADD"/>
    <w:rsid w:val="27D05536"/>
    <w:rsid w:val="280E42B1"/>
    <w:rsid w:val="298C38F4"/>
    <w:rsid w:val="2A282FC7"/>
    <w:rsid w:val="2A496A6F"/>
    <w:rsid w:val="2A5664D5"/>
    <w:rsid w:val="2A97058D"/>
    <w:rsid w:val="2B607770"/>
    <w:rsid w:val="2BB941F1"/>
    <w:rsid w:val="2C5B55EB"/>
    <w:rsid w:val="2D917516"/>
    <w:rsid w:val="2D9862F2"/>
    <w:rsid w:val="2DC86CB0"/>
    <w:rsid w:val="2E003F30"/>
    <w:rsid w:val="2EB5026F"/>
    <w:rsid w:val="2EDC2A13"/>
    <w:rsid w:val="2F234AE5"/>
    <w:rsid w:val="2F4A23A5"/>
    <w:rsid w:val="30662EDC"/>
    <w:rsid w:val="309B47E7"/>
    <w:rsid w:val="319B4E07"/>
    <w:rsid w:val="31A83080"/>
    <w:rsid w:val="32625925"/>
    <w:rsid w:val="327A76B3"/>
    <w:rsid w:val="32D700C1"/>
    <w:rsid w:val="331965DE"/>
    <w:rsid w:val="33FE78CF"/>
    <w:rsid w:val="34256C0A"/>
    <w:rsid w:val="3436661A"/>
    <w:rsid w:val="345D3C57"/>
    <w:rsid w:val="349830CE"/>
    <w:rsid w:val="34993154"/>
    <w:rsid w:val="34FA6C65"/>
    <w:rsid w:val="3502519D"/>
    <w:rsid w:val="369C1890"/>
    <w:rsid w:val="36D641EB"/>
    <w:rsid w:val="36E452EC"/>
    <w:rsid w:val="3724764D"/>
    <w:rsid w:val="375717D0"/>
    <w:rsid w:val="37AA6260"/>
    <w:rsid w:val="37E64902"/>
    <w:rsid w:val="383E64EC"/>
    <w:rsid w:val="39754190"/>
    <w:rsid w:val="39F76794"/>
    <w:rsid w:val="3A3D2F5A"/>
    <w:rsid w:val="3A3D7EDC"/>
    <w:rsid w:val="3AA35FBF"/>
    <w:rsid w:val="3AC61C42"/>
    <w:rsid w:val="3B5129DA"/>
    <w:rsid w:val="3B7355E2"/>
    <w:rsid w:val="3D001FC2"/>
    <w:rsid w:val="3D1E069A"/>
    <w:rsid w:val="3D3E1186"/>
    <w:rsid w:val="3D545467"/>
    <w:rsid w:val="3DA6700D"/>
    <w:rsid w:val="3EB42DC3"/>
    <w:rsid w:val="3ED95B3D"/>
    <w:rsid w:val="3F1D32FF"/>
    <w:rsid w:val="3F4F0EB9"/>
    <w:rsid w:val="3F7E4F38"/>
    <w:rsid w:val="3FB9739D"/>
    <w:rsid w:val="3FF638FD"/>
    <w:rsid w:val="40B01A92"/>
    <w:rsid w:val="40B80342"/>
    <w:rsid w:val="40EC27D7"/>
    <w:rsid w:val="411A73CB"/>
    <w:rsid w:val="41BA3087"/>
    <w:rsid w:val="4278729B"/>
    <w:rsid w:val="42975177"/>
    <w:rsid w:val="42A27568"/>
    <w:rsid w:val="42E46C60"/>
    <w:rsid w:val="42EA69FE"/>
    <w:rsid w:val="432E715D"/>
    <w:rsid w:val="439E6E16"/>
    <w:rsid w:val="43A23DD3"/>
    <w:rsid w:val="4430552F"/>
    <w:rsid w:val="445552E9"/>
    <w:rsid w:val="44957494"/>
    <w:rsid w:val="44E0760E"/>
    <w:rsid w:val="45CC5137"/>
    <w:rsid w:val="45FB6FE8"/>
    <w:rsid w:val="46115240"/>
    <w:rsid w:val="464A1648"/>
    <w:rsid w:val="466622E2"/>
    <w:rsid w:val="469F3711"/>
    <w:rsid w:val="476B0980"/>
    <w:rsid w:val="479C6D8B"/>
    <w:rsid w:val="48030BB8"/>
    <w:rsid w:val="48124C0C"/>
    <w:rsid w:val="482C47F7"/>
    <w:rsid w:val="48754510"/>
    <w:rsid w:val="48E61D57"/>
    <w:rsid w:val="49215FEB"/>
    <w:rsid w:val="49B26D3A"/>
    <w:rsid w:val="4A03724D"/>
    <w:rsid w:val="4A76652E"/>
    <w:rsid w:val="4AC5484B"/>
    <w:rsid w:val="4ACF1226"/>
    <w:rsid w:val="4B6D116B"/>
    <w:rsid w:val="4C76404F"/>
    <w:rsid w:val="4D16313C"/>
    <w:rsid w:val="4D7B5CAE"/>
    <w:rsid w:val="4D8C33FE"/>
    <w:rsid w:val="4DBC54C9"/>
    <w:rsid w:val="4EBE6C2C"/>
    <w:rsid w:val="4EE6408A"/>
    <w:rsid w:val="4F4E3061"/>
    <w:rsid w:val="4F552641"/>
    <w:rsid w:val="4FB1539E"/>
    <w:rsid w:val="514B3CFC"/>
    <w:rsid w:val="51A27A5C"/>
    <w:rsid w:val="523C1897"/>
    <w:rsid w:val="52B458D1"/>
    <w:rsid w:val="52E02222"/>
    <w:rsid w:val="52F932E4"/>
    <w:rsid w:val="533802B0"/>
    <w:rsid w:val="539B083F"/>
    <w:rsid w:val="540D46D1"/>
    <w:rsid w:val="54520EFE"/>
    <w:rsid w:val="54B971CF"/>
    <w:rsid w:val="54E16725"/>
    <w:rsid w:val="54FC530D"/>
    <w:rsid w:val="55951815"/>
    <w:rsid w:val="55D7727B"/>
    <w:rsid w:val="56035FBC"/>
    <w:rsid w:val="563034C0"/>
    <w:rsid w:val="56B23ED5"/>
    <w:rsid w:val="56D4209E"/>
    <w:rsid w:val="56F20776"/>
    <w:rsid w:val="57090A62"/>
    <w:rsid w:val="57476D14"/>
    <w:rsid w:val="57902B6A"/>
    <w:rsid w:val="57AF7567"/>
    <w:rsid w:val="57D60097"/>
    <w:rsid w:val="57E26A3C"/>
    <w:rsid w:val="5809697C"/>
    <w:rsid w:val="580A15CA"/>
    <w:rsid w:val="58366D88"/>
    <w:rsid w:val="58773629"/>
    <w:rsid w:val="59715160"/>
    <w:rsid w:val="597731B4"/>
    <w:rsid w:val="597E7B62"/>
    <w:rsid w:val="59853B23"/>
    <w:rsid w:val="59A57A22"/>
    <w:rsid w:val="59CC52AE"/>
    <w:rsid w:val="59E24D96"/>
    <w:rsid w:val="59F12F67"/>
    <w:rsid w:val="5A097BEB"/>
    <w:rsid w:val="5AA1498D"/>
    <w:rsid w:val="5AE40D1D"/>
    <w:rsid w:val="5B0E7B48"/>
    <w:rsid w:val="5B3550D5"/>
    <w:rsid w:val="5B386973"/>
    <w:rsid w:val="5B77250D"/>
    <w:rsid w:val="5B8D6CBF"/>
    <w:rsid w:val="5B9B5880"/>
    <w:rsid w:val="5BFD3E45"/>
    <w:rsid w:val="5C190553"/>
    <w:rsid w:val="5C4A4BB0"/>
    <w:rsid w:val="5CEB0141"/>
    <w:rsid w:val="5D0D450D"/>
    <w:rsid w:val="5D1A5AD6"/>
    <w:rsid w:val="5D2D69AC"/>
    <w:rsid w:val="5D67666D"/>
    <w:rsid w:val="5DB6322B"/>
    <w:rsid w:val="5DD31149"/>
    <w:rsid w:val="5E007D87"/>
    <w:rsid w:val="5E056FE1"/>
    <w:rsid w:val="5E314A1C"/>
    <w:rsid w:val="5EB86978"/>
    <w:rsid w:val="5F1C4CBF"/>
    <w:rsid w:val="5F577D10"/>
    <w:rsid w:val="5FAD16DE"/>
    <w:rsid w:val="5FB2455C"/>
    <w:rsid w:val="5FCA6734"/>
    <w:rsid w:val="609D1752"/>
    <w:rsid w:val="60AA4BCD"/>
    <w:rsid w:val="61204131"/>
    <w:rsid w:val="6155027F"/>
    <w:rsid w:val="61691F7C"/>
    <w:rsid w:val="61AD3C17"/>
    <w:rsid w:val="62B62F9F"/>
    <w:rsid w:val="62D60F4C"/>
    <w:rsid w:val="630D4511"/>
    <w:rsid w:val="63446B15"/>
    <w:rsid w:val="6364039D"/>
    <w:rsid w:val="6441217E"/>
    <w:rsid w:val="647E7AED"/>
    <w:rsid w:val="64AF7CA6"/>
    <w:rsid w:val="65281C05"/>
    <w:rsid w:val="6529188A"/>
    <w:rsid w:val="65473BF5"/>
    <w:rsid w:val="658729D1"/>
    <w:rsid w:val="662A7F2C"/>
    <w:rsid w:val="66482160"/>
    <w:rsid w:val="682E63BC"/>
    <w:rsid w:val="686F716C"/>
    <w:rsid w:val="69602435"/>
    <w:rsid w:val="6A503CD9"/>
    <w:rsid w:val="6A70612A"/>
    <w:rsid w:val="6ADC37BF"/>
    <w:rsid w:val="6ADE175C"/>
    <w:rsid w:val="6B5415A7"/>
    <w:rsid w:val="6BA736B2"/>
    <w:rsid w:val="6BB2539D"/>
    <w:rsid w:val="6BBB5C49"/>
    <w:rsid w:val="6BD36970"/>
    <w:rsid w:val="6BE44432"/>
    <w:rsid w:val="6C100EAA"/>
    <w:rsid w:val="6C937EAD"/>
    <w:rsid w:val="6CB716E9"/>
    <w:rsid w:val="6E407BC1"/>
    <w:rsid w:val="6F0C5B44"/>
    <w:rsid w:val="6F20464C"/>
    <w:rsid w:val="708B1BD7"/>
    <w:rsid w:val="711D41EA"/>
    <w:rsid w:val="72263F71"/>
    <w:rsid w:val="72287B76"/>
    <w:rsid w:val="72C60FDD"/>
    <w:rsid w:val="72D74F98"/>
    <w:rsid w:val="72ED20E3"/>
    <w:rsid w:val="73467A28"/>
    <w:rsid w:val="736B1B84"/>
    <w:rsid w:val="738A025C"/>
    <w:rsid w:val="73970283"/>
    <w:rsid w:val="73EA6238"/>
    <w:rsid w:val="74BA691F"/>
    <w:rsid w:val="752A6BC5"/>
    <w:rsid w:val="75EF43A6"/>
    <w:rsid w:val="76432C97"/>
    <w:rsid w:val="767D7C04"/>
    <w:rsid w:val="76E25CB9"/>
    <w:rsid w:val="77185B7F"/>
    <w:rsid w:val="771B11CB"/>
    <w:rsid w:val="77BC29AE"/>
    <w:rsid w:val="78533C8F"/>
    <w:rsid w:val="7880578A"/>
    <w:rsid w:val="78AE679B"/>
    <w:rsid w:val="79354D14"/>
    <w:rsid w:val="79512818"/>
    <w:rsid w:val="79B7342D"/>
    <w:rsid w:val="79BA116F"/>
    <w:rsid w:val="79E05CB1"/>
    <w:rsid w:val="7A903103"/>
    <w:rsid w:val="7AC202DC"/>
    <w:rsid w:val="7B5D1845"/>
    <w:rsid w:val="7BBE6ADF"/>
    <w:rsid w:val="7C1E3C37"/>
    <w:rsid w:val="7C86235A"/>
    <w:rsid w:val="7D087F87"/>
    <w:rsid w:val="7E370FE0"/>
    <w:rsid w:val="7E9F26E2"/>
    <w:rsid w:val="7F1E70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sz w:val="21"/>
      <w:szCs w:val="22"/>
    </w:rPr>
  </w:style>
  <w:style w:type="paragraph" w:styleId="2">
    <w:name w:val="heading 6"/>
    <w:basedOn w:val="1"/>
    <w:next w:val="1"/>
    <w:autoRedefine/>
    <w:semiHidden/>
    <w:unhideWhenUsed/>
    <w:qFormat/>
    <w:uiPriority w:val="0"/>
    <w:pPr>
      <w:keepNext/>
      <w:keepLines/>
      <w:tabs>
        <w:tab w:val="left" w:pos="1200"/>
      </w:tabs>
      <w:spacing w:before="240" w:after="64" w:line="320" w:lineRule="auto"/>
      <w:outlineLvl w:val="5"/>
    </w:pPr>
    <w:rPr>
      <w:rFonts w:asciiTheme="majorHAnsi" w:hAnsiTheme="majorHAnsi" w:eastAsiaTheme="majorEastAsia"/>
      <w:b/>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3">
    <w:name w:val="caption"/>
    <w:basedOn w:val="1"/>
    <w:next w:val="1"/>
    <w:autoRedefine/>
    <w:semiHidden/>
    <w:unhideWhenUsed/>
    <w:qFormat/>
    <w:uiPriority w:val="0"/>
    <w:pPr>
      <w:spacing w:before="50" w:beforeLines="50" w:after="50" w:afterLines="50" w:line="240" w:lineRule="auto"/>
      <w:jc w:val="center"/>
    </w:pPr>
    <w:rPr>
      <w:rFonts w:ascii="Times New Roman" w:hAnsi="Times New Roman" w:eastAsia="黑体"/>
      <w:b/>
      <w:bCs/>
      <w:color w:val="0070C0"/>
      <w:sz w:val="21"/>
      <w:szCs w:val="16"/>
    </w:rPr>
  </w:style>
  <w:style w:type="paragraph" w:styleId="4">
    <w:name w:val="Body Text"/>
    <w:basedOn w:val="1"/>
    <w:autoRedefine/>
    <w:qFormat/>
    <w:uiPriority w:val="0"/>
    <w:pPr>
      <w:spacing w:after="120"/>
    </w:pPr>
  </w:style>
  <w:style w:type="paragraph" w:styleId="5">
    <w:name w:val="toc 3"/>
    <w:basedOn w:val="1"/>
    <w:next w:val="1"/>
    <w:autoRedefine/>
    <w:qFormat/>
    <w:uiPriority w:val="0"/>
    <w:pPr>
      <w:ind w:left="840" w:leftChars="40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rPr>
      <w:rFonts w:ascii="Times New Roman" w:hAnsi="Times New Roman" w:eastAsia="宋体"/>
      <w:b/>
      <w:color w:val="4F81BD" w:themeColor="accent1"/>
      <w14:textFill>
        <w14:solidFill>
          <w14:schemeClr w14:val="accent1"/>
        </w14:solidFill>
      </w14:textFill>
    </w:rPr>
  </w:style>
  <w:style w:type="paragraph" w:styleId="9">
    <w:name w:val="footnote text"/>
    <w:basedOn w:val="1"/>
    <w:autoRedefine/>
    <w:qFormat/>
    <w:uiPriority w:val="0"/>
    <w:pPr>
      <w:snapToGrid w:val="0"/>
      <w:jc w:val="left"/>
    </w:pPr>
    <w:rPr>
      <w:sz w:val="18"/>
    </w:rPr>
  </w:style>
  <w:style w:type="paragraph" w:styleId="10">
    <w:name w:val="toc 2"/>
    <w:basedOn w:val="1"/>
    <w:next w:val="1"/>
    <w:autoRedefine/>
    <w:qFormat/>
    <w:uiPriority w:val="0"/>
    <w:pPr>
      <w:ind w:left="420" w:leftChars="200"/>
    </w:pPr>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rPr>
  </w:style>
  <w:style w:type="paragraph" w:styleId="1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otnote reference"/>
    <w:basedOn w:val="15"/>
    <w:autoRedefine/>
    <w:qFormat/>
    <w:uiPriority w:val="0"/>
    <w:rPr>
      <w:vertAlign w:val="superscript"/>
    </w:rPr>
  </w:style>
  <w:style w:type="paragraph" w:customStyle="1" w:styleId="17">
    <w:name w:val="L正文"/>
    <w:basedOn w:val="18"/>
    <w:autoRedefine/>
    <w:qFormat/>
    <w:uiPriority w:val="0"/>
    <w:pPr>
      <w:spacing w:before="0" w:beforeLines="0" w:after="0" w:afterLines="0"/>
      <w:ind w:firstLine="200"/>
      <w:jc w:val="both"/>
    </w:pPr>
    <w:rPr>
      <w:rFonts w:ascii="Times New Roman" w:hAnsi="Times New Roman" w:eastAsia="宋体"/>
      <w:szCs w:val="24"/>
    </w:rPr>
  </w:style>
  <w:style w:type="paragraph" w:customStyle="1" w:styleId="18">
    <w:name w:val="报告正文样式"/>
    <w:basedOn w:val="1"/>
    <w:autoRedefine/>
    <w:qFormat/>
    <w:uiPriority w:val="0"/>
    <w:pPr>
      <w:widowControl/>
      <w:spacing w:before="100" w:beforeLines="50" w:after="200" w:afterLines="50" w:line="360" w:lineRule="auto"/>
      <w:ind w:firstLine="480" w:firstLineChars="200"/>
      <w:jc w:val="left"/>
    </w:pPr>
    <w:rPr>
      <w:rFonts w:ascii="宋体" w:hAnsi="宋体" w:cs="宋体"/>
      <w:color w:val="000000"/>
      <w:sz w:val="24"/>
      <w:szCs w:val="21"/>
    </w:rPr>
  </w:style>
  <w:style w:type="character" w:customStyle="1" w:styleId="19">
    <w:name w:val="font11"/>
    <w:basedOn w:val="15"/>
    <w:autoRedefine/>
    <w:qFormat/>
    <w:uiPriority w:val="0"/>
    <w:rPr>
      <w:rFonts w:hint="eastAsia" w:ascii="宋体" w:hAnsi="宋体" w:eastAsia="宋体" w:cs="宋体"/>
      <w:b/>
      <w:bCs/>
      <w:color w:val="FFFFFF"/>
      <w:sz w:val="22"/>
      <w:szCs w:val="22"/>
      <w:u w:val="none"/>
    </w:rPr>
  </w:style>
  <w:style w:type="character" w:customStyle="1" w:styleId="20">
    <w:name w:val="font21"/>
    <w:basedOn w:val="15"/>
    <w:autoRedefine/>
    <w:qFormat/>
    <w:uiPriority w:val="0"/>
    <w:rPr>
      <w:rFonts w:hint="eastAsia" w:ascii="宋体" w:hAnsi="宋体" w:eastAsia="宋体" w:cs="宋体"/>
      <w:color w:val="000000"/>
      <w:sz w:val="22"/>
      <w:szCs w:val="22"/>
      <w:u w:val="none"/>
    </w:rPr>
  </w:style>
  <w:style w:type="character" w:customStyle="1" w:styleId="21">
    <w:name w:val="font31"/>
    <w:basedOn w:val="15"/>
    <w:autoRedefine/>
    <w:qFormat/>
    <w:uiPriority w:val="0"/>
    <w:rPr>
      <w:rFonts w:hint="default" w:ascii="Times New Roman" w:hAnsi="Times New Roman" w:cs="Times New Roman"/>
      <w:color w:val="000000"/>
      <w:sz w:val="22"/>
      <w:szCs w:val="22"/>
      <w:u w:val="none"/>
    </w:rPr>
  </w:style>
  <w:style w:type="paragraph" w:customStyle="1" w:styleId="22">
    <w:name w:val="MycosDescription"/>
    <w:next w:val="4"/>
    <w:autoRedefine/>
    <w:qFormat/>
    <w:uiPriority w:val="0"/>
    <w:rPr>
      <w:rFonts w:ascii="Calibri" w:hAnsi="Calibri" w:eastAsia="宋体" w:cs="Calibri"/>
      <w:sz w:val="21"/>
      <w:lang w:val="en-US" w:eastAsia="zh-CN" w:bidi="ar-SA"/>
    </w:rPr>
  </w:style>
  <w:style w:type="paragraph" w:customStyle="1" w:styleId="23">
    <w:name w:val="正文L"/>
    <w:basedOn w:val="1"/>
    <w:autoRedefine/>
    <w:qFormat/>
    <w:uiPriority w:val="0"/>
    <w:pPr>
      <w:widowControl w:val="0"/>
      <w:spacing w:before="0" w:after="0" w:line="360" w:lineRule="auto"/>
      <w:ind w:firstLine="200" w:firstLineChars="200"/>
      <w:jc w:val="both"/>
    </w:pPr>
    <w:rPr>
      <w:rFonts w:ascii="Times New Roman" w:hAnsi="Times New Roman" w:eastAsiaTheme="minorEastAsia"/>
      <w:kern w:val="2"/>
      <w:sz w:val="24"/>
      <w:szCs w:val="24"/>
    </w:rPr>
  </w:style>
</w:styles>
</file>

<file path=word/_rels/document.xml.rels><?xml version="1.0" encoding="UTF-8" standalone="yes"?>
<Relationships xmlns="http://schemas.openxmlformats.org/package/2006/relationships"><Relationship Id="rId99" Type="http://schemas.openxmlformats.org/officeDocument/2006/relationships/chart" Target="charts/chart47.xml"/><Relationship Id="rId98" Type="http://schemas.openxmlformats.org/officeDocument/2006/relationships/chart" Target="charts/chart46.xml"/><Relationship Id="rId97" Type="http://schemas.openxmlformats.org/officeDocument/2006/relationships/chart" Target="charts/chart45.xml"/><Relationship Id="rId96" Type="http://schemas.openxmlformats.org/officeDocument/2006/relationships/chart" Target="charts/chart44.xml"/><Relationship Id="rId95" Type="http://schemas.openxmlformats.org/officeDocument/2006/relationships/chart" Target="charts/chart43.xml"/><Relationship Id="rId94" Type="http://schemas.openxmlformats.org/officeDocument/2006/relationships/chart" Target="charts/chart42.xml"/><Relationship Id="rId93" Type="http://schemas.openxmlformats.org/officeDocument/2006/relationships/chart" Target="charts/chart41.xml"/><Relationship Id="rId92" Type="http://schemas.openxmlformats.org/officeDocument/2006/relationships/chart" Target="charts/chart40.xml"/><Relationship Id="rId91" Type="http://schemas.openxmlformats.org/officeDocument/2006/relationships/image" Target="media/image37.png"/><Relationship Id="rId90" Type="http://schemas.openxmlformats.org/officeDocument/2006/relationships/chart" Target="charts/chart39.xml"/><Relationship Id="rId9" Type="http://schemas.openxmlformats.org/officeDocument/2006/relationships/footer" Target="footer3.xml"/><Relationship Id="rId89" Type="http://schemas.openxmlformats.org/officeDocument/2006/relationships/image" Target="media/image36.svg"/><Relationship Id="rId88" Type="http://schemas.openxmlformats.org/officeDocument/2006/relationships/image" Target="media/image35.png"/><Relationship Id="rId87" Type="http://schemas.openxmlformats.org/officeDocument/2006/relationships/image" Target="media/image34.svg"/><Relationship Id="rId86" Type="http://schemas.openxmlformats.org/officeDocument/2006/relationships/image" Target="media/image33.png"/><Relationship Id="rId85" Type="http://schemas.openxmlformats.org/officeDocument/2006/relationships/chart" Target="charts/chart38.xml"/><Relationship Id="rId84" Type="http://schemas.openxmlformats.org/officeDocument/2006/relationships/chart" Target="charts/chart37.xml"/><Relationship Id="rId83" Type="http://schemas.openxmlformats.org/officeDocument/2006/relationships/chart" Target="charts/chart36.xml"/><Relationship Id="rId82" Type="http://schemas.openxmlformats.org/officeDocument/2006/relationships/chart" Target="charts/chart35.xml"/><Relationship Id="rId81" Type="http://schemas.openxmlformats.org/officeDocument/2006/relationships/chart" Target="charts/chart34.xml"/><Relationship Id="rId80" Type="http://schemas.openxmlformats.org/officeDocument/2006/relationships/chart" Target="charts/chart33.xml"/><Relationship Id="rId8" Type="http://schemas.openxmlformats.org/officeDocument/2006/relationships/footer" Target="footer2.xml"/><Relationship Id="rId79" Type="http://schemas.openxmlformats.org/officeDocument/2006/relationships/chart" Target="charts/chart32.xml"/><Relationship Id="rId78" Type="http://schemas.openxmlformats.org/officeDocument/2006/relationships/chart" Target="charts/chart31.xml"/><Relationship Id="rId77" Type="http://schemas.openxmlformats.org/officeDocument/2006/relationships/chart" Target="charts/chart30.xml"/><Relationship Id="rId76" Type="http://schemas.openxmlformats.org/officeDocument/2006/relationships/chart" Target="charts/chart29.xml"/><Relationship Id="rId75" Type="http://schemas.openxmlformats.org/officeDocument/2006/relationships/chart" Target="charts/chart28.xml"/><Relationship Id="rId74" Type="http://schemas.openxmlformats.org/officeDocument/2006/relationships/chart" Target="charts/chart27.xml"/><Relationship Id="rId73" Type="http://schemas.openxmlformats.org/officeDocument/2006/relationships/chart" Target="charts/chart26.xml"/><Relationship Id="rId72" Type="http://schemas.openxmlformats.org/officeDocument/2006/relationships/chart" Target="charts/chart25.xml"/><Relationship Id="rId71" Type="http://schemas.openxmlformats.org/officeDocument/2006/relationships/chart" Target="charts/chart24.xml"/><Relationship Id="rId70" Type="http://schemas.openxmlformats.org/officeDocument/2006/relationships/chart" Target="charts/chart23.xml"/><Relationship Id="rId7" Type="http://schemas.openxmlformats.org/officeDocument/2006/relationships/footer" Target="footer1.xml"/><Relationship Id="rId69" Type="http://schemas.openxmlformats.org/officeDocument/2006/relationships/chart" Target="charts/chart22.xml"/><Relationship Id="rId68" Type="http://schemas.openxmlformats.org/officeDocument/2006/relationships/chart" Target="charts/chart21.xml"/><Relationship Id="rId67" Type="http://schemas.openxmlformats.org/officeDocument/2006/relationships/image" Target="media/image32.emf"/><Relationship Id="rId66" Type="http://schemas.openxmlformats.org/officeDocument/2006/relationships/chart" Target="charts/chart20.xml"/><Relationship Id="rId65" Type="http://schemas.openxmlformats.org/officeDocument/2006/relationships/chart" Target="charts/chart19.xml"/><Relationship Id="rId64" Type="http://schemas.openxmlformats.org/officeDocument/2006/relationships/image" Target="media/image31.emf"/><Relationship Id="rId63" Type="http://schemas.openxmlformats.org/officeDocument/2006/relationships/chart" Target="charts/chart18.xml"/><Relationship Id="rId62" Type="http://schemas.openxmlformats.org/officeDocument/2006/relationships/chart" Target="charts/chart17.xml"/><Relationship Id="rId61" Type="http://schemas.openxmlformats.org/officeDocument/2006/relationships/chart" Target="charts/chart16.xml"/><Relationship Id="rId60" Type="http://schemas.openxmlformats.org/officeDocument/2006/relationships/chart" Target="charts/chart15.xml"/><Relationship Id="rId6" Type="http://schemas.openxmlformats.org/officeDocument/2006/relationships/header" Target="header3.xml"/><Relationship Id="rId59" Type="http://schemas.openxmlformats.org/officeDocument/2006/relationships/chart" Target="charts/chart14.xml"/><Relationship Id="rId58" Type="http://schemas.openxmlformats.org/officeDocument/2006/relationships/chart" Target="charts/chart13.xml"/><Relationship Id="rId57" Type="http://schemas.openxmlformats.org/officeDocument/2006/relationships/chart" Target="charts/chart12.xml"/><Relationship Id="rId56" Type="http://schemas.openxmlformats.org/officeDocument/2006/relationships/chart" Target="charts/chart11.xml"/><Relationship Id="rId55" Type="http://schemas.openxmlformats.org/officeDocument/2006/relationships/chart" Target="charts/chart10.xml"/><Relationship Id="rId54" Type="http://schemas.openxmlformats.org/officeDocument/2006/relationships/chart" Target="charts/chart9.xml"/><Relationship Id="rId53" Type="http://schemas.openxmlformats.org/officeDocument/2006/relationships/image" Target="media/image30.emf"/><Relationship Id="rId52" Type="http://schemas.openxmlformats.org/officeDocument/2006/relationships/chart" Target="charts/chart8.xml"/><Relationship Id="rId51" Type="http://schemas.openxmlformats.org/officeDocument/2006/relationships/chart" Target="charts/chart7.xml"/><Relationship Id="rId50" Type="http://schemas.openxmlformats.org/officeDocument/2006/relationships/chart" Target="charts/chart6.xml"/><Relationship Id="rId5" Type="http://schemas.openxmlformats.org/officeDocument/2006/relationships/header" Target="head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chart" Target="charts/chart5.xml"/><Relationship Id="rId44" Type="http://schemas.openxmlformats.org/officeDocument/2006/relationships/chart" Target="charts/chart4.xml"/><Relationship Id="rId43" Type="http://schemas.openxmlformats.org/officeDocument/2006/relationships/chart" Target="charts/chart3.xml"/><Relationship Id="rId42" Type="http://schemas.openxmlformats.org/officeDocument/2006/relationships/image" Target="media/image25.png"/><Relationship Id="rId41" Type="http://schemas.openxmlformats.org/officeDocument/2006/relationships/image" Target="media/image24.emf"/><Relationship Id="rId40" Type="http://schemas.openxmlformats.org/officeDocument/2006/relationships/image" Target="media/image23.jpeg"/><Relationship Id="rId4" Type="http://schemas.openxmlformats.org/officeDocument/2006/relationships/header" Target="header1.xml"/><Relationship Id="rId39" Type="http://schemas.openxmlformats.org/officeDocument/2006/relationships/image" Target="media/image22.emf"/><Relationship Id="rId38" Type="http://schemas.openxmlformats.org/officeDocument/2006/relationships/image" Target="media/image21.emf"/><Relationship Id="rId37" Type="http://schemas.openxmlformats.org/officeDocument/2006/relationships/image" Target="media/image20.emf"/><Relationship Id="rId36" Type="http://schemas.openxmlformats.org/officeDocument/2006/relationships/image" Target="media/image19.emf"/><Relationship Id="rId35" Type="http://schemas.openxmlformats.org/officeDocument/2006/relationships/chart" Target="charts/chart2.xml"/><Relationship Id="rId34" Type="http://schemas.openxmlformats.org/officeDocument/2006/relationships/image" Target="media/image18.svg"/><Relationship Id="rId33" Type="http://schemas.openxmlformats.org/officeDocument/2006/relationships/image" Target="media/image17.png"/><Relationship Id="rId32" Type="http://schemas.openxmlformats.org/officeDocument/2006/relationships/image" Target="media/image16.svg"/><Relationship Id="rId31" Type="http://schemas.openxmlformats.org/officeDocument/2006/relationships/image" Target="media/image15.png"/><Relationship Id="rId30" Type="http://schemas.openxmlformats.org/officeDocument/2006/relationships/chart" Target="charts/chart1.xml"/><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emf"/><Relationship Id="rId25" Type="http://schemas.openxmlformats.org/officeDocument/2006/relationships/image" Target="media/image10.emf"/><Relationship Id="rId24" Type="http://schemas.openxmlformats.org/officeDocument/2006/relationships/image" Target="media/image9.png"/><Relationship Id="rId23" Type="http://schemas.openxmlformats.org/officeDocument/2006/relationships/image" Target="media/image8.svg"/><Relationship Id="rId22" Type="http://schemas.openxmlformats.org/officeDocument/2006/relationships/image" Target="media/image7.png"/><Relationship Id="rId21" Type="http://schemas.openxmlformats.org/officeDocument/2006/relationships/image" Target="media/image6.sv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5" Type="http://schemas.openxmlformats.org/officeDocument/2006/relationships/fontTable" Target="fontTable.xml"/><Relationship Id="rId144" Type="http://schemas.openxmlformats.org/officeDocument/2006/relationships/numbering" Target="numbering.xml"/><Relationship Id="rId143" Type="http://schemas.openxmlformats.org/officeDocument/2006/relationships/customXml" Target="../customXml/item1.xml"/><Relationship Id="rId142" Type="http://schemas.openxmlformats.org/officeDocument/2006/relationships/chart" Target="charts/chart78.xml"/><Relationship Id="rId141" Type="http://schemas.openxmlformats.org/officeDocument/2006/relationships/chart" Target="charts/chart77.xml"/><Relationship Id="rId140" Type="http://schemas.openxmlformats.org/officeDocument/2006/relationships/chart" Target="charts/chart76.xml"/><Relationship Id="rId14" Type="http://schemas.openxmlformats.org/officeDocument/2006/relationships/footer" Target="footer8.xml"/><Relationship Id="rId139" Type="http://schemas.openxmlformats.org/officeDocument/2006/relationships/chart" Target="charts/chart75.xml"/><Relationship Id="rId138" Type="http://schemas.openxmlformats.org/officeDocument/2006/relationships/chart" Target="charts/chart74.xml"/><Relationship Id="rId137" Type="http://schemas.openxmlformats.org/officeDocument/2006/relationships/chart" Target="charts/chart73.xml"/><Relationship Id="rId136" Type="http://schemas.openxmlformats.org/officeDocument/2006/relationships/chart" Target="charts/chart72.xml"/><Relationship Id="rId135" Type="http://schemas.openxmlformats.org/officeDocument/2006/relationships/chart" Target="charts/chart71.xml"/><Relationship Id="rId134" Type="http://schemas.openxmlformats.org/officeDocument/2006/relationships/chart" Target="charts/chart70.xml"/><Relationship Id="rId133" Type="http://schemas.openxmlformats.org/officeDocument/2006/relationships/chart" Target="charts/chart69.xml"/><Relationship Id="rId132" Type="http://schemas.openxmlformats.org/officeDocument/2006/relationships/chart" Target="charts/chart68.xml"/><Relationship Id="rId131" Type="http://schemas.openxmlformats.org/officeDocument/2006/relationships/chart" Target="charts/chart67.xml"/><Relationship Id="rId130" Type="http://schemas.openxmlformats.org/officeDocument/2006/relationships/chart" Target="charts/chart66.xml"/><Relationship Id="rId13" Type="http://schemas.openxmlformats.org/officeDocument/2006/relationships/footer" Target="footer7.xml"/><Relationship Id="rId129" Type="http://schemas.openxmlformats.org/officeDocument/2006/relationships/chart" Target="charts/chart65.xml"/><Relationship Id="rId128" Type="http://schemas.openxmlformats.org/officeDocument/2006/relationships/chart" Target="charts/chart64.xml"/><Relationship Id="rId127" Type="http://schemas.openxmlformats.org/officeDocument/2006/relationships/chart" Target="charts/chart63.xml"/><Relationship Id="rId126" Type="http://schemas.openxmlformats.org/officeDocument/2006/relationships/chart" Target="charts/chart62.xml"/><Relationship Id="rId125" Type="http://schemas.openxmlformats.org/officeDocument/2006/relationships/image" Target="media/image49.svg"/><Relationship Id="rId124" Type="http://schemas.openxmlformats.org/officeDocument/2006/relationships/image" Target="media/image48.png"/><Relationship Id="rId123" Type="http://schemas.openxmlformats.org/officeDocument/2006/relationships/image" Target="media/image47.svg"/><Relationship Id="rId122" Type="http://schemas.openxmlformats.org/officeDocument/2006/relationships/image" Target="media/image46.png"/><Relationship Id="rId121" Type="http://schemas.openxmlformats.org/officeDocument/2006/relationships/image" Target="media/image45.svg"/><Relationship Id="rId120" Type="http://schemas.openxmlformats.org/officeDocument/2006/relationships/image" Target="media/image44.png"/><Relationship Id="rId12" Type="http://schemas.openxmlformats.org/officeDocument/2006/relationships/footer" Target="footer6.xml"/><Relationship Id="rId119" Type="http://schemas.openxmlformats.org/officeDocument/2006/relationships/image" Target="media/image43.svg"/><Relationship Id="rId118" Type="http://schemas.openxmlformats.org/officeDocument/2006/relationships/image" Target="media/image42.png"/><Relationship Id="rId117" Type="http://schemas.openxmlformats.org/officeDocument/2006/relationships/image" Target="media/image41.svg"/><Relationship Id="rId116" Type="http://schemas.openxmlformats.org/officeDocument/2006/relationships/image" Target="media/image40.png"/><Relationship Id="rId115" Type="http://schemas.openxmlformats.org/officeDocument/2006/relationships/image" Target="media/image39.svg"/><Relationship Id="rId114" Type="http://schemas.openxmlformats.org/officeDocument/2006/relationships/image" Target="media/image38.png"/><Relationship Id="rId113" Type="http://schemas.openxmlformats.org/officeDocument/2006/relationships/chart" Target="charts/chart61.xml"/><Relationship Id="rId112" Type="http://schemas.openxmlformats.org/officeDocument/2006/relationships/chart" Target="charts/chart60.xml"/><Relationship Id="rId111" Type="http://schemas.openxmlformats.org/officeDocument/2006/relationships/chart" Target="charts/chart59.xml"/><Relationship Id="rId110" Type="http://schemas.openxmlformats.org/officeDocument/2006/relationships/chart" Target="charts/chart58.xml"/><Relationship Id="rId11" Type="http://schemas.openxmlformats.org/officeDocument/2006/relationships/footer" Target="footer5.xml"/><Relationship Id="rId109" Type="http://schemas.openxmlformats.org/officeDocument/2006/relationships/chart" Target="charts/chart57.xml"/><Relationship Id="rId108" Type="http://schemas.openxmlformats.org/officeDocument/2006/relationships/chart" Target="charts/chart56.xml"/><Relationship Id="rId107" Type="http://schemas.openxmlformats.org/officeDocument/2006/relationships/chart" Target="charts/chart55.xml"/><Relationship Id="rId106" Type="http://schemas.openxmlformats.org/officeDocument/2006/relationships/chart" Target="charts/chart54.xml"/><Relationship Id="rId105" Type="http://schemas.openxmlformats.org/officeDocument/2006/relationships/chart" Target="charts/chart53.xml"/><Relationship Id="rId104" Type="http://schemas.openxmlformats.org/officeDocument/2006/relationships/chart" Target="charts/chart52.xml"/><Relationship Id="rId103" Type="http://schemas.openxmlformats.org/officeDocument/2006/relationships/chart" Target="charts/chart51.xml"/><Relationship Id="rId102" Type="http://schemas.openxmlformats.org/officeDocument/2006/relationships/chart" Target="charts/chart50.xml"/><Relationship Id="rId101" Type="http://schemas.openxmlformats.org/officeDocument/2006/relationships/chart" Target="charts/chart49.xml"/><Relationship Id="rId100" Type="http://schemas.openxmlformats.org/officeDocument/2006/relationships/chart" Target="charts/chart48.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0.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2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2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2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19.xlsx"/></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package" Target="../embeddings/Workbook1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Workbook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2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2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2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Workbook3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Workbook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1.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Workbook53.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Workbook4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Workbook5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Workbook6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Workbook56.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Workbook31.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Workbook4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Workbook52.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Workbook4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Workbook3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Workbook46.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Workbook47.xlsx"/></Relationships>
</file>

<file path=word/charts/_rels/chart43.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61.xlsx"/></Relationships>
</file>

<file path=word/charts/_rels/chart4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58.xlsx"/></Relationships>
</file>

<file path=word/charts/_rels/chart4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2.xlsx"/></Relationships>
</file>

<file path=word/charts/_rels/chart4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48.xlsx"/></Relationships>
</file>

<file path=word/charts/_rels/chart4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49.xlsx"/></Relationships>
</file>

<file path=word/charts/_rels/chart48.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50.xlsx"/></Relationships>
</file>

<file path=word/charts/_rels/chart49.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5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50.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2.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Workbook34.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Workbook4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Workbook3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Workbook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Workbook3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Workbook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Workbook3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Workbook59.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Workbook3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22.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Workbook3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Workbook43.xlsx"/></Relationships>
</file>

<file path=word/charts/_rels/chart6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64.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Workbook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Workbook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Workbook7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Workbook78.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Workbook7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Workbook74.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Workbook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70.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71.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Workbook75.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Workbook68.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Workbook70.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Workbook65.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Workbook76.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Workbook6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Workbook6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Workbook7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1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885848318999"/>
          <c:y val="0.0353732638888889"/>
          <c:w val="0.683659108678655"/>
          <c:h val="0.948784722222222"/>
        </c:manualLayout>
      </c:layout>
      <c:doughnutChart>
        <c:varyColors val="1"/>
        <c:ser>
          <c:idx val="0"/>
          <c:order val="0"/>
          <c:tx>
            <c:strRef>
              <c:f>Sheet1!$B$1</c:f>
              <c:strCache>
                <c:ptCount val="1"/>
                <c:pt idx="0">
                  <c:v>销售额</c:v>
                </c:pt>
              </c:strCache>
            </c:strRef>
          </c:tx>
          <c:spPr>
            <a:solidFill>
              <a:sysClr val="window" lastClr="FFFFFF">
                <a:lumMod val="85000"/>
              </a:sysClr>
            </a:solidFill>
            <a:ln w="12700">
              <a:noFill/>
            </a:ln>
            <a:effectLst>
              <a:outerShdw blurRad="63500" sx="102000" sy="102000" algn="ctr" rotWithShape="0">
                <a:schemeClr val="tx1">
                  <a:lumMod val="50000"/>
                  <a:lumOff val="50000"/>
                  <a:alpha val="40000"/>
                </a:schemeClr>
              </a:outerShdw>
            </a:effectLst>
            <a:sp3d contourW="12700"/>
          </c:spPr>
          <c:explosion val="0"/>
          <c:dPt>
            <c:idx val="0"/>
            <c:bubble3D val="0"/>
            <c:spPr>
              <a:solidFill>
                <a:srgbClr val="9BBB59"/>
              </a:solidFill>
              <a:ln w="12700">
                <a:noFill/>
              </a:ln>
              <a:effectLst>
                <a:outerShdw blurRad="63500" sx="102000" sy="102000" algn="ctr" rotWithShape="0">
                  <a:schemeClr val="tx1">
                    <a:lumMod val="50000"/>
                    <a:lumOff val="50000"/>
                    <a:alpha val="40000"/>
                  </a:schemeClr>
                </a:outerShdw>
              </a:effectLst>
              <a:sp3d contourW="12700"/>
            </c:spPr>
          </c:dPt>
          <c:dPt>
            <c:idx val="1"/>
            <c:bubble3D val="0"/>
            <c:explosion val="0"/>
            <c:spPr>
              <a:solidFill>
                <a:sysClr val="window" lastClr="FFFFFF">
                  <a:lumMod val="85000"/>
                </a:sysClr>
              </a:solidFill>
              <a:ln w="12700">
                <a:noFill/>
              </a:ln>
              <a:effectLst>
                <a:outerShdw blurRad="63500" sx="102000" sy="102000" algn="ctr" rotWithShape="0">
                  <a:schemeClr val="tx1">
                    <a:lumMod val="50000"/>
                    <a:lumOff val="50000"/>
                    <a:alpha val="40000"/>
                  </a:schemeClr>
                </a:outerShdw>
              </a:effectLst>
              <a:sp3d contourW="12700"/>
            </c:spPr>
          </c:dPt>
          <c:dLbls>
            <c:dLbl>
              <c:idx val="0"/>
              <c:layout>
                <c:manualLayout>
                  <c:x val="-0.209352648270041"/>
                  <c:y val="0.43534621260008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rgbClr val="9BBB59"/>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manualLayout>
                      <c:w val="0.283539212869865"/>
                      <c:h val="0.225239005736138"/>
                    </c:manualLayout>
                  </c15:layout>
                </c:ext>
              </c:extLst>
            </c:dLbl>
            <c:dLbl>
              <c:idx val="1"/>
              <c:delete val="1"/>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9BBB59"/>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男生</c:v>
                </c:pt>
                <c:pt idx="1">
                  <c:v>女生</c:v>
                </c:pt>
              </c:strCache>
            </c:strRef>
          </c:cat>
          <c:val>
            <c:numRef>
              <c:f>Sheet1!$B$2:$B$3</c:f>
              <c:numCache>
                <c:formatCode>0.00%</c:formatCode>
                <c:ptCount val="2"/>
                <c:pt idx="0">
                  <c:v>0.2961</c:v>
                </c:pt>
                <c:pt idx="1">
                  <c:v>0.7039</c:v>
                </c:pt>
              </c:numCache>
            </c:numRef>
          </c:val>
        </c:ser>
        <c:dLbls>
          <c:showLegendKey val="0"/>
          <c:showVal val="1"/>
          <c:showCatName val="0"/>
          <c:showSerName val="0"/>
          <c:showPercent val="0"/>
          <c:showBubbleSize val="0"/>
          <c:showLeaderLines val="1"/>
        </c:dLbls>
        <c:firstSliceAng val="0"/>
        <c:holeSize val="65"/>
      </c:doughnutChart>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sz="900" b="1"/>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611788916654"/>
          <c:y val="0.0147318797878609"/>
          <c:w val="0.621049536968984"/>
          <c:h val="0.979375368296995"/>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Sheet0!$A$2:$A$8</c:f>
              <c:strCache>
                <c:ptCount val="7"/>
                <c:pt idx="0">
                  <c:v>家庭不支持</c:v>
                </c:pt>
                <c:pt idx="1">
                  <c:v>产品问题</c:v>
                </c:pt>
                <c:pt idx="2">
                  <c:v>团队组建或管理问题</c:v>
                </c:pt>
                <c:pt idx="3">
                  <c:v>其他</c:v>
                </c:pt>
                <c:pt idx="4">
                  <c:v>缺乏指导</c:v>
                </c:pt>
                <c:pt idx="5">
                  <c:v>市场推广</c:v>
                </c:pt>
                <c:pt idx="6">
                  <c:v>资金问题</c:v>
                </c:pt>
              </c:strCache>
            </c:strRef>
          </c:cat>
          <c:val>
            <c:numRef>
              <c:f>Sheet0!$B$2:$B$8</c:f>
              <c:numCache>
                <c:formatCode>General</c:formatCode>
                <c:ptCount val="7"/>
                <c:pt idx="0">
                  <c:v>100</c:v>
                </c:pt>
                <c:pt idx="1">
                  <c:v>100</c:v>
                </c:pt>
                <c:pt idx="2">
                  <c:v>100</c:v>
                </c:pt>
                <c:pt idx="3">
                  <c:v>100</c:v>
                </c:pt>
                <c:pt idx="4">
                  <c:v>100</c:v>
                </c:pt>
                <c:pt idx="5">
                  <c:v>100</c:v>
                </c:pt>
                <c:pt idx="6">
                  <c:v>100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rgbClr val="4F80BD"/>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Sheet0!$A$2:$A$8</c:f>
              <c:strCache>
                <c:ptCount val="7"/>
                <c:pt idx="0">
                  <c:v>家庭不支持</c:v>
                </c:pt>
                <c:pt idx="1">
                  <c:v>产品问题</c:v>
                </c:pt>
                <c:pt idx="2">
                  <c:v>团队组建或管理问题</c:v>
                </c:pt>
                <c:pt idx="3">
                  <c:v>其他</c:v>
                </c:pt>
                <c:pt idx="4">
                  <c:v>缺乏指导</c:v>
                </c:pt>
                <c:pt idx="5">
                  <c:v>市场推广</c:v>
                </c:pt>
                <c:pt idx="6">
                  <c:v>资金问题</c:v>
                </c:pt>
              </c:strCache>
            </c:strRef>
          </c:cat>
          <c:val>
            <c:numRef>
              <c:f>Sheet0!$C$2:$C$8</c:f>
              <c:numCache>
                <c:formatCode>0.00_);[Red]\(0.00\)</c:formatCode>
                <c:ptCount val="7"/>
                <c:pt idx="0">
                  <c:v>2.38</c:v>
                </c:pt>
                <c:pt idx="1">
                  <c:v>9.52</c:v>
                </c:pt>
                <c:pt idx="2">
                  <c:v>10.71</c:v>
                </c:pt>
                <c:pt idx="3">
                  <c:v>22.62</c:v>
                </c:pt>
                <c:pt idx="4">
                  <c:v>23.81</c:v>
                </c:pt>
                <c:pt idx="5">
                  <c:v>30.95</c:v>
                </c:pt>
                <c:pt idx="6">
                  <c:v>38.1</c:v>
                </c:pt>
              </c:numCache>
            </c:numRef>
          </c:val>
        </c:ser>
        <c:dLbls>
          <c:showLegendKey val="0"/>
          <c:showVal val="1"/>
          <c:showCatName val="0"/>
          <c:showSerName val="0"/>
          <c:showPercent val="0"/>
          <c:showBubbleSize val="0"/>
        </c:dLbls>
        <c:gapWidth val="150"/>
        <c:overlap val="0"/>
        <c:axId val="764568426"/>
        <c:axId val="933107000"/>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10"/>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valAx>
        <c:axId val="933107000"/>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64568426"/>
        <c:crosses val="max"/>
        <c:crossBetween val="between"/>
      </c:valAx>
      <c:catAx>
        <c:axId val="764568426"/>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33107000"/>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3931888544892"/>
          <c:y val="0.00871839581517001"/>
          <c:w val="0.464930073662859"/>
          <c:h val="0.974135425748329"/>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Sheet0!$A$2:$A$6</c:f>
              <c:strCache>
                <c:ptCount val="5"/>
                <c:pt idx="0">
                  <c:v>其他</c:v>
                </c:pt>
                <c:pt idx="1">
                  <c:v>家庭因素（如家人对自己找工作帮助太少）</c:v>
                </c:pt>
                <c:pt idx="2">
                  <c:v>学校因素（如学校专业与市场需求吻合度不高）</c:v>
                </c:pt>
                <c:pt idx="3">
                  <c:v>社会因素（如经济形势较差、企业招聘岗位吸引力太低）</c:v>
                </c:pt>
                <c:pt idx="4">
                  <c:v>个人因素（如个人能力不足、个人求职意愿不明确）</c:v>
                </c:pt>
              </c:strCache>
            </c:strRef>
          </c:cat>
          <c:val>
            <c:numRef>
              <c:f>Sheet0!$B$2:$B$6</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rgbClr val="4F80BD"/>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Sheet0!$A$2:$A$6</c:f>
              <c:strCache>
                <c:ptCount val="5"/>
                <c:pt idx="0">
                  <c:v>其他</c:v>
                </c:pt>
                <c:pt idx="1">
                  <c:v>家庭因素（如家人对自己找工作帮助太少）</c:v>
                </c:pt>
                <c:pt idx="2">
                  <c:v>学校因素（如学校专业与市场需求吻合度不高）</c:v>
                </c:pt>
                <c:pt idx="3">
                  <c:v>社会因素（如经济形势较差、企业招聘岗位吸引力太低）</c:v>
                </c:pt>
                <c:pt idx="4">
                  <c:v>个人因素（如个人能力不足、个人求职意愿不明确）</c:v>
                </c:pt>
              </c:strCache>
            </c:strRef>
          </c:cat>
          <c:val>
            <c:numRef>
              <c:f>Sheet0!$C$2:$C$6</c:f>
              <c:numCache>
                <c:formatCode>General</c:formatCode>
                <c:ptCount val="5"/>
                <c:pt idx="0">
                  <c:v>48.01</c:v>
                </c:pt>
                <c:pt idx="1">
                  <c:v>1.29</c:v>
                </c:pt>
                <c:pt idx="2">
                  <c:v>4.58</c:v>
                </c:pt>
                <c:pt idx="3">
                  <c:v>15.34</c:v>
                </c:pt>
                <c:pt idx="4">
                  <c:v>30.78</c:v>
                </c:pt>
              </c:numCache>
            </c:numRef>
          </c:val>
        </c:ser>
        <c:dLbls>
          <c:showLegendKey val="0"/>
          <c:showVal val="1"/>
          <c:showCatName val="0"/>
          <c:showSerName val="0"/>
          <c:showPercent val="0"/>
          <c:showBubbleSize val="0"/>
        </c:dLbls>
        <c:gapWidth val="150"/>
        <c:overlap val="0"/>
        <c:axId val="575038281"/>
        <c:axId val="340200490"/>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10"/>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valAx>
        <c:axId val="340200490"/>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75038281"/>
        <c:crosses val="max"/>
        <c:crossBetween val="between"/>
      </c:valAx>
      <c:catAx>
        <c:axId val="575038281"/>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0200490"/>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99912093195476"/>
          <c:y val="0.0757564162324245"/>
          <c:w val="0.435396148757901"/>
          <c:h val="0.870920317553661"/>
        </c:manualLayout>
      </c:layout>
      <c:pieChart>
        <c:varyColors val="1"/>
        <c:ser>
          <c:idx val="0"/>
          <c:order val="0"/>
          <c:tx>
            <c:strRef>
              <c:f>Sheet0!$B$1</c:f>
              <c:strCache>
                <c:ptCount val="1"/>
                <c:pt idx="0">
                  <c:v>占比</c:v>
                </c:pt>
              </c:strCache>
            </c:strRef>
          </c:tx>
          <c:explosion val="0"/>
          <c:dPt>
            <c:idx val="0"/>
            <c:bubble3D val="0"/>
          </c:dPt>
          <c:dPt>
            <c:idx val="1"/>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Sheet0!$A$2:$A$3</c:f>
              <c:strCache>
                <c:ptCount val="2"/>
                <c:pt idx="0">
                  <c:v>是</c:v>
                </c:pt>
                <c:pt idx="1">
                  <c:v>否</c:v>
                </c:pt>
              </c:strCache>
            </c:strRef>
          </c:cat>
          <c:val>
            <c:numRef>
              <c:f>Sheet0!$B$2:$B$3</c:f>
              <c:numCache>
                <c:formatCode>General</c:formatCode>
                <c:ptCount val="2"/>
                <c:pt idx="0">
                  <c:v>2639</c:v>
                </c:pt>
                <c:pt idx="1">
                  <c:v>7361</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87626638171668"/>
          <c:y val="0.0680778032036613"/>
          <c:w val="0.44609030052699"/>
          <c:h val="0.895881006864989"/>
        </c:manualLayout>
      </c:layout>
      <c:pieChart>
        <c:varyColors val="1"/>
        <c:ser>
          <c:idx val="0"/>
          <c:order val="0"/>
          <c:tx>
            <c:strRef>
              <c:f>Sheet0!$B$1</c:f>
              <c:strCache>
                <c:ptCount val="1"/>
                <c:pt idx="0">
                  <c:v>占比</c:v>
                </c:pt>
              </c:strCache>
            </c:strRef>
          </c:tx>
          <c:explosion val="0"/>
          <c:dPt>
            <c:idx val="0"/>
            <c:bubble3D val="0"/>
          </c:dPt>
          <c:dPt>
            <c:idx val="1"/>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Sheet0!$A$2:$A$3</c:f>
              <c:strCache>
                <c:ptCount val="2"/>
                <c:pt idx="0">
                  <c:v>是</c:v>
                </c:pt>
                <c:pt idx="1">
                  <c:v>否</c:v>
                </c:pt>
              </c:strCache>
            </c:strRef>
          </c:cat>
          <c:val>
            <c:numRef>
              <c:f>Sheet0!$B$2:$B$3</c:f>
              <c:numCache>
                <c:formatCode>General</c:formatCode>
                <c:ptCount val="2"/>
                <c:pt idx="0">
                  <c:v>4880</c:v>
                </c:pt>
                <c:pt idx="1">
                  <c:v>5120</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8619297537344"/>
          <c:y val="0.0150888293988805"/>
          <c:w val="0.536939846588615"/>
          <c:h val="0.974446337308348"/>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Sheet0!$A$2:$A$7</c:f>
              <c:strCache>
                <c:ptCount val="6"/>
                <c:pt idx="0">
                  <c:v>其他</c:v>
                </c:pt>
                <c:pt idx="1">
                  <c:v>初试公共科目（政治、英语）</c:v>
                </c:pt>
                <c:pt idx="2">
                  <c:v>初试专业科目</c:v>
                </c:pt>
                <c:pt idx="3">
                  <c:v>复试（面试、笔试）</c:v>
                </c:pt>
                <c:pt idx="4">
                  <c:v>初试基础科目（数学或专业基础）</c:v>
                </c:pt>
                <c:pt idx="5">
                  <c:v>初试总分</c:v>
                </c:pt>
              </c:strCache>
            </c:strRef>
          </c:cat>
          <c:val>
            <c:numRef>
              <c:f>Sheet0!$B$2:$B$7</c:f>
              <c:numCache>
                <c:formatCode>General</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rgbClr val="4F80BD"/>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Sheet0!$A$2:$A$7</c:f>
              <c:strCache>
                <c:ptCount val="6"/>
                <c:pt idx="0">
                  <c:v>其他</c:v>
                </c:pt>
                <c:pt idx="1">
                  <c:v>初试公共科目（政治、英语）</c:v>
                </c:pt>
                <c:pt idx="2">
                  <c:v>初试专业科目</c:v>
                </c:pt>
                <c:pt idx="3">
                  <c:v>复试（面试、笔试）</c:v>
                </c:pt>
                <c:pt idx="4">
                  <c:v>初试基础科目（数学或专业基础）</c:v>
                </c:pt>
                <c:pt idx="5">
                  <c:v>初试总分</c:v>
                </c:pt>
              </c:strCache>
            </c:strRef>
          </c:cat>
          <c:val>
            <c:numRef>
              <c:f>Sheet0!$C$2:$C$7</c:f>
              <c:numCache>
                <c:formatCode>0.00_);[Red]\(0.00\)</c:formatCode>
                <c:ptCount val="6"/>
                <c:pt idx="0">
                  <c:v>4.69</c:v>
                </c:pt>
                <c:pt idx="1">
                  <c:v>9.18</c:v>
                </c:pt>
                <c:pt idx="2">
                  <c:v>9.8</c:v>
                </c:pt>
                <c:pt idx="3">
                  <c:v>10.41</c:v>
                </c:pt>
                <c:pt idx="4">
                  <c:v>10.82</c:v>
                </c:pt>
                <c:pt idx="5">
                  <c:v>55.1</c:v>
                </c:pt>
              </c:numCache>
            </c:numRef>
          </c:val>
        </c:ser>
        <c:dLbls>
          <c:showLegendKey val="0"/>
          <c:showVal val="1"/>
          <c:showCatName val="0"/>
          <c:showSerName val="0"/>
          <c:showPercent val="0"/>
          <c:showBubbleSize val="0"/>
        </c:dLbls>
        <c:gapWidth val="150"/>
        <c:overlap val="0"/>
        <c:axId val="203178453"/>
        <c:axId val="484771010"/>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10"/>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majorUnit val="20"/>
      </c:valAx>
      <c:valAx>
        <c:axId val="484771010"/>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3178453"/>
        <c:crosses val="max"/>
        <c:crossBetween val="between"/>
      </c:valAx>
      <c:catAx>
        <c:axId val="203178453"/>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84771010"/>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1236219315008"/>
          <c:y val="0.0226403998823875"/>
          <c:w val="0.455534323092753"/>
          <c:h val="0.962364010585122"/>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Sheet0!$A$2:$A$9</c:f>
              <c:strCache>
                <c:ptCount val="8"/>
                <c:pt idx="0">
                  <c:v>其他</c:v>
                </c:pt>
                <c:pt idx="1">
                  <c:v>学校多组织线下招聘活动</c:v>
                </c:pt>
                <c:pt idx="2">
                  <c:v>学校开发更多实习就业岗位</c:v>
                </c:pt>
                <c:pt idx="3">
                  <c:v>扭转用人单位“唯名校”“唯学历”用人导向</c:v>
                </c:pt>
                <c:pt idx="4">
                  <c:v>规范用人单位招聘，及时纠正就业歧视、无故解约等不规范招聘行为</c:v>
                </c:pt>
                <c:pt idx="5">
                  <c:v>学习进行就业指导与求职辅导</c:v>
                </c:pt>
                <c:pt idx="6">
                  <c:v>为招聘高校毕业生的用人单位提供财税优惠政策，鼓励其吸纳毕业生就业</c:v>
                </c:pt>
                <c:pt idx="7">
                  <c:v>学校继续推荐工作岗位/机会</c:v>
                </c:pt>
              </c:strCache>
            </c:strRef>
          </c:cat>
          <c:val>
            <c:numRef>
              <c:f>Sheet0!$B$2:$B$9</c:f>
              <c:numCache>
                <c:formatCode>General</c:formatCode>
                <c:ptCount val="8"/>
                <c:pt idx="0">
                  <c:v>100</c:v>
                </c:pt>
                <c:pt idx="1">
                  <c:v>100</c:v>
                </c:pt>
                <c:pt idx="2">
                  <c:v>100</c:v>
                </c:pt>
                <c:pt idx="3">
                  <c:v>100</c:v>
                </c:pt>
                <c:pt idx="4">
                  <c:v>100</c:v>
                </c:pt>
                <c:pt idx="5">
                  <c:v>100</c:v>
                </c:pt>
                <c:pt idx="6">
                  <c:v>100</c:v>
                </c:pt>
                <c:pt idx="7">
                  <c:v>100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rgbClr val="4F80BD"/>
            </a:solidFill>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Sheet0!$A$2:$A$9</c:f>
              <c:strCache>
                <c:ptCount val="8"/>
                <c:pt idx="0">
                  <c:v>其他</c:v>
                </c:pt>
                <c:pt idx="1">
                  <c:v>学校多组织线下招聘活动</c:v>
                </c:pt>
                <c:pt idx="2">
                  <c:v>学校开发更多实习就业岗位</c:v>
                </c:pt>
                <c:pt idx="3">
                  <c:v>扭转用人单位“唯名校”“唯学历”用人导向</c:v>
                </c:pt>
                <c:pt idx="4">
                  <c:v>规范用人单位招聘，及时纠正就业歧视、无故解约等不规范招聘行为</c:v>
                </c:pt>
                <c:pt idx="5">
                  <c:v>学习进行就业指导与求职辅导</c:v>
                </c:pt>
                <c:pt idx="6">
                  <c:v>为招聘高校毕业生的用人单位提供财税优惠政策，鼓励其吸纳毕业生就业</c:v>
                </c:pt>
                <c:pt idx="7">
                  <c:v>学校继续推荐工作岗位/机会</c:v>
                </c:pt>
              </c:strCache>
            </c:strRef>
          </c:cat>
          <c:val>
            <c:numRef>
              <c:f>Sheet0!$C$2:$C$9</c:f>
              <c:numCache>
                <c:formatCode>General</c:formatCode>
                <c:ptCount val="8"/>
                <c:pt idx="0">
                  <c:v>2.89</c:v>
                </c:pt>
                <c:pt idx="1">
                  <c:v>22.73</c:v>
                </c:pt>
                <c:pt idx="2">
                  <c:v>23.14</c:v>
                </c:pt>
                <c:pt idx="3">
                  <c:v>23.14</c:v>
                </c:pt>
                <c:pt idx="4">
                  <c:v>25.21</c:v>
                </c:pt>
                <c:pt idx="5">
                  <c:v>25.21</c:v>
                </c:pt>
                <c:pt idx="6">
                  <c:v>26.03</c:v>
                </c:pt>
                <c:pt idx="7">
                  <c:v>40.91</c:v>
                </c:pt>
              </c:numCache>
            </c:numRef>
          </c:val>
        </c:ser>
        <c:dLbls>
          <c:showLegendKey val="0"/>
          <c:showVal val="1"/>
          <c:showCatName val="0"/>
          <c:showSerName val="0"/>
          <c:showPercent val="1"/>
          <c:showBubbleSize val="1"/>
        </c:dLbls>
        <c:gapWidth val="150"/>
        <c:overlap val="0"/>
        <c:axId val="386655875"/>
        <c:axId val="22784998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10"/>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valAx>
        <c:axId val="227849981"/>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6655875"/>
        <c:crosses val="max"/>
        <c:crossBetween val="between"/>
      </c:valAx>
      <c:catAx>
        <c:axId val="386655875"/>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7849981"/>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0635013964427"/>
          <c:y val="0.0149955895324904"/>
          <c:w val="0.43495516683816"/>
          <c:h val="0.974419288444575"/>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Sheet0!$A$2:$A$7</c:f>
              <c:strCache>
                <c:ptCount val="6"/>
                <c:pt idx="0">
                  <c:v>其他</c:v>
                </c:pt>
                <c:pt idx="1">
                  <c:v>邀请往届毕业生代表作公考经验交流</c:v>
                </c:pt>
                <c:pt idx="2">
                  <c:v>扭转“唯名校”“唯学历”用人导向</c:v>
                </c:pt>
                <c:pt idx="3">
                  <c:v>提供公考培训辅导</c:v>
                </c:pt>
                <c:pt idx="4">
                  <c:v>政府部门、国有企业、事业单位等带头扩大招聘规模</c:v>
                </c:pt>
                <c:pt idx="5">
                  <c:v>为未就业的毕业生保留应届生身份</c:v>
                </c:pt>
              </c:strCache>
            </c:strRef>
          </c:cat>
          <c:val>
            <c:numRef>
              <c:f>Sheet0!$B$2:$B$7</c:f>
              <c:numCache>
                <c:formatCode>General</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rgbClr val="4F80BD"/>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Sheet0!$A$2:$A$7</c:f>
              <c:strCache>
                <c:ptCount val="6"/>
                <c:pt idx="0">
                  <c:v>其他</c:v>
                </c:pt>
                <c:pt idx="1">
                  <c:v>邀请往届毕业生代表作公考经验交流</c:v>
                </c:pt>
                <c:pt idx="2">
                  <c:v>扭转“唯名校”“唯学历”用人导向</c:v>
                </c:pt>
                <c:pt idx="3">
                  <c:v>提供公考培训辅导</c:v>
                </c:pt>
                <c:pt idx="4">
                  <c:v>政府部门、国有企业、事业单位等带头扩大招聘规模</c:v>
                </c:pt>
                <c:pt idx="5">
                  <c:v>为未就业的毕业生保留应届生身份</c:v>
                </c:pt>
              </c:strCache>
            </c:strRef>
          </c:cat>
          <c:val>
            <c:numRef>
              <c:f>Sheet0!$C$2:$C$7</c:f>
              <c:numCache>
                <c:formatCode>General</c:formatCode>
                <c:ptCount val="6"/>
                <c:pt idx="0">
                  <c:v>0.27</c:v>
                </c:pt>
                <c:pt idx="1">
                  <c:v>7.71</c:v>
                </c:pt>
                <c:pt idx="2">
                  <c:v>15.96</c:v>
                </c:pt>
                <c:pt idx="3">
                  <c:v>22.87</c:v>
                </c:pt>
                <c:pt idx="4">
                  <c:v>59.31</c:v>
                </c:pt>
                <c:pt idx="5">
                  <c:v>70.74</c:v>
                </c:pt>
              </c:numCache>
            </c:numRef>
          </c:val>
        </c:ser>
        <c:dLbls>
          <c:showLegendKey val="0"/>
          <c:showVal val="1"/>
          <c:showCatName val="0"/>
          <c:showSerName val="0"/>
          <c:showPercent val="0"/>
          <c:showBubbleSize val="0"/>
        </c:dLbls>
        <c:gapWidth val="150"/>
        <c:overlap val="0"/>
        <c:axId val="203178453"/>
        <c:axId val="484771010"/>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10"/>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majorUnit val="20"/>
      </c:valAx>
      <c:valAx>
        <c:axId val="484771010"/>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3178453"/>
        <c:crosses val="max"/>
        <c:crossBetween val="between"/>
      </c:valAx>
      <c:catAx>
        <c:axId val="203178453"/>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84771010"/>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3460565647275"/>
          <c:y val="0.0273097036606624"/>
          <c:w val="0.40423085766843"/>
          <c:h val="0.962231260894829"/>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Sheet0!$A$2:$A$5</c:f>
              <c:strCache>
                <c:ptCount val="4"/>
                <c:pt idx="0">
                  <c:v>适度降低大学生入伍门槛要求</c:v>
                </c:pt>
                <c:pt idx="1">
                  <c:v>扩大大学生征兵规模特别是毕业生征兵比例</c:v>
                </c:pt>
                <c:pt idx="2">
                  <c:v>加大优秀大学生士兵的宣传推广和表彰力度</c:v>
                </c:pt>
                <c:pt idx="3">
                  <c:v>出台、落实优惠政策，支持退役大学生士兵返校学习</c:v>
                </c:pt>
              </c:strCache>
            </c:strRef>
          </c:cat>
          <c:val>
            <c:numRef>
              <c:f>Sheet0!$B$2:$B$5</c:f>
              <c:numCache>
                <c:formatCode>General</c:formatCode>
                <c:ptCount val="4"/>
                <c:pt idx="0">
                  <c:v>100</c:v>
                </c:pt>
                <c:pt idx="1">
                  <c:v>100</c:v>
                </c:pt>
                <c:pt idx="2">
                  <c:v>100</c:v>
                </c:pt>
                <c:pt idx="3">
                  <c:v>100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rgbClr val="4F80BD"/>
            </a:solidFill>
          </c:spPr>
          <c:invertIfNegative val="0"/>
          <c:dLbls>
            <c:dLbl>
              <c:idx val="3"/>
              <c:layout>
                <c:manualLayout>
                  <c:x val="-0.0125316164635548"/>
                  <c:y val="0"/>
                </c:manualLayout>
              </c:layout>
              <c:dLblPos val="outEnd"/>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适度降低大学生入伍门槛要求</c:v>
                </c:pt>
                <c:pt idx="1">
                  <c:v>扩大大学生征兵规模特别是毕业生征兵比例</c:v>
                </c:pt>
                <c:pt idx="2">
                  <c:v>加大优秀大学生士兵的宣传推广和表彰力度</c:v>
                </c:pt>
                <c:pt idx="3">
                  <c:v>出台、落实优惠政策，支持退役大学生士兵返校学习</c:v>
                </c:pt>
              </c:strCache>
            </c:strRef>
          </c:cat>
          <c:val>
            <c:numRef>
              <c:f>Sheet0!$C$2:$C$5</c:f>
              <c:numCache>
                <c:formatCode>General</c:formatCode>
                <c:ptCount val="4"/>
                <c:pt idx="0">
                  <c:v>28.57</c:v>
                </c:pt>
                <c:pt idx="1">
                  <c:v>42.86</c:v>
                </c:pt>
                <c:pt idx="2">
                  <c:v>57.14</c:v>
                </c:pt>
                <c:pt idx="3">
                  <c:v>85.71</c:v>
                </c:pt>
              </c:numCache>
            </c:numRef>
          </c:val>
        </c:ser>
        <c:dLbls>
          <c:showLegendKey val="0"/>
          <c:showVal val="1"/>
          <c:showCatName val="0"/>
          <c:showSerName val="0"/>
          <c:showPercent val="1"/>
          <c:showBubbleSize val="1"/>
        </c:dLbls>
        <c:gapWidth val="150"/>
        <c:overlap val="0"/>
        <c:axId val="783051614"/>
        <c:axId val="803546846"/>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01"/>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valAx>
        <c:axId val="803546846"/>
        <c:scaling>
          <c:orientation val="minMax"/>
          <c:max val="110"/>
          <c:min val="0"/>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83051614"/>
        <c:crosses val="max"/>
        <c:crossBetween val="between"/>
      </c:valAx>
      <c:catAx>
        <c:axId val="783051614"/>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03546846"/>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2692353715448"/>
          <c:y val="0.0272873194221509"/>
          <c:w val="0.454947947828168"/>
          <c:h val="0.962118780096308"/>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Sheet0!$A$2:$A$4</c:f>
              <c:strCache>
                <c:ptCount val="3"/>
                <c:pt idx="0">
                  <c:v>出台鼓励、支持海外国人归国发展的政策</c:v>
                </c:pt>
                <c:pt idx="1">
                  <c:v>留学考试、文书辅导</c:v>
                </c:pt>
                <c:pt idx="2">
                  <c:v>英语能力培训</c:v>
                </c:pt>
              </c:strCache>
            </c:strRef>
          </c:cat>
          <c:val>
            <c:numRef>
              <c:f>Sheet0!$B$2:$B$4</c:f>
              <c:numCache>
                <c:formatCode>General</c:formatCode>
                <c:ptCount val="3"/>
                <c:pt idx="0">
                  <c:v>100</c:v>
                </c:pt>
                <c:pt idx="1">
                  <c:v>100</c:v>
                </c:pt>
                <c:pt idx="2">
                  <c:v>100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rgbClr val="4F80BD"/>
            </a:solidFill>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Sheet0!$A$2:$A$4</c:f>
              <c:strCache>
                <c:ptCount val="3"/>
                <c:pt idx="0">
                  <c:v>出台鼓励、支持海外国人归国发展的政策</c:v>
                </c:pt>
                <c:pt idx="1">
                  <c:v>留学考试、文书辅导</c:v>
                </c:pt>
                <c:pt idx="2">
                  <c:v>英语能力培训</c:v>
                </c:pt>
              </c:strCache>
            </c:strRef>
          </c:cat>
          <c:val>
            <c:numRef>
              <c:f>Sheet0!$C$2:$C$4</c:f>
              <c:numCache>
                <c:formatCode>0.00_);[Red]\(0.00\)</c:formatCode>
                <c:ptCount val="3"/>
                <c:pt idx="0">
                  <c:v>25</c:v>
                </c:pt>
                <c:pt idx="1">
                  <c:v>25</c:v>
                </c:pt>
                <c:pt idx="2">
                  <c:v>50</c:v>
                </c:pt>
              </c:numCache>
            </c:numRef>
          </c:val>
        </c:ser>
        <c:dLbls>
          <c:showLegendKey val="0"/>
          <c:showVal val="1"/>
          <c:showCatName val="0"/>
          <c:showSerName val="0"/>
          <c:showPercent val="1"/>
          <c:showBubbleSize val="1"/>
        </c:dLbls>
        <c:gapWidth val="150"/>
        <c:overlap val="0"/>
        <c:axId val="783051614"/>
        <c:axId val="803546846"/>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01"/>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valAx>
        <c:axId val="803546846"/>
        <c:scaling>
          <c:orientation val="minMax"/>
          <c:max val="110"/>
          <c:min val="0"/>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83051614"/>
        <c:crosses val="max"/>
        <c:crossBetween val="between"/>
      </c:valAx>
      <c:catAx>
        <c:axId val="783051614"/>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03546846"/>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98558106308426"/>
          <c:y val="0.100695494405806"/>
          <c:w val="0.406439469362951"/>
          <c:h val="0.864129394947357"/>
        </c:manualLayout>
      </c:layout>
      <c:pieChart>
        <c:varyColors val="1"/>
        <c:ser>
          <c:idx val="0"/>
          <c:order val="0"/>
          <c:tx>
            <c:strRef>
              <c:f>Sheet0!$B$1</c:f>
              <c:strCache>
                <c:ptCount val="1"/>
                <c:pt idx="0">
                  <c:v>占比</c:v>
                </c:pt>
              </c:strCache>
            </c:strRef>
          </c:tx>
          <c:explosion val="0"/>
          <c:dPt>
            <c:idx val="0"/>
            <c:bubble3D val="0"/>
          </c:dPt>
          <c:dPt>
            <c:idx val="1"/>
            <c:bubble3D val="0"/>
          </c:dPt>
          <c:dLbls>
            <c:dLbl>
              <c:idx val="0"/>
              <c:layout>
                <c:manualLayout>
                  <c:x val="0.224670681547143"/>
                  <c:y val="-0.377374969928631"/>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1"/>
              <c:layout>
                <c:manualLayout>
                  <c:x val="-0.0426681837576447"/>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Sheet0!$A$2:$A$3</c:f>
              <c:strCache>
                <c:ptCount val="2"/>
                <c:pt idx="0">
                  <c:v>省内就业</c:v>
                </c:pt>
                <c:pt idx="1">
                  <c:v>省外就业</c:v>
                </c:pt>
              </c:strCache>
            </c:strRef>
          </c:cat>
          <c:val>
            <c:numRef>
              <c:f>Sheet0!$B$2:$B$3</c:f>
              <c:numCache>
                <c:formatCode>General</c:formatCode>
                <c:ptCount val="2"/>
                <c:pt idx="0">
                  <c:v>8762</c:v>
                </c:pt>
                <c:pt idx="1">
                  <c:v>1238</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234655590305"/>
          <c:y val="0.0368923611111111"/>
          <c:w val="0.661767005473026"/>
          <c:h val="0.918402777777778"/>
        </c:manualLayout>
      </c:layout>
      <c:doughnutChart>
        <c:varyColors val="1"/>
        <c:ser>
          <c:idx val="0"/>
          <c:order val="0"/>
          <c:tx>
            <c:strRef>
              <c:f>Sheet1!$B$1</c:f>
              <c:strCache>
                <c:ptCount val="1"/>
                <c:pt idx="0">
                  <c:v>销售额</c:v>
                </c:pt>
              </c:strCache>
            </c:strRef>
          </c:tx>
          <c:spPr>
            <a:solidFill>
              <a:sysClr val="window" lastClr="FFFFFF">
                <a:lumMod val="85000"/>
              </a:sysClr>
            </a:solidFill>
            <a:ln w="12700">
              <a:noFill/>
            </a:ln>
            <a:effectLst>
              <a:outerShdw blurRad="63500" sx="102000" sy="102000" algn="ctr" rotWithShape="0">
                <a:schemeClr val="tx1">
                  <a:lumMod val="50000"/>
                  <a:lumOff val="50000"/>
                  <a:alpha val="40000"/>
                </a:schemeClr>
              </a:outerShdw>
            </a:effectLst>
            <a:sp3d contourW="12700"/>
          </c:spPr>
          <c:explosion val="0"/>
          <c:dPt>
            <c:idx val="0"/>
            <c:bubble3D val="0"/>
            <c:spPr>
              <a:solidFill>
                <a:sysClr val="window" lastClr="FFFFFF">
                  <a:lumMod val="85000"/>
                </a:sysClr>
              </a:solidFill>
              <a:ln w="12700">
                <a:noFill/>
              </a:ln>
              <a:effectLst>
                <a:outerShdw blurRad="63500" sx="102000" sy="102000" algn="ctr" rotWithShape="0">
                  <a:schemeClr val="tx1">
                    <a:lumMod val="50000"/>
                    <a:lumOff val="50000"/>
                    <a:alpha val="40000"/>
                  </a:schemeClr>
                </a:outerShdw>
              </a:effectLst>
              <a:sp3d contourW="12700"/>
            </c:spPr>
          </c:dPt>
          <c:dPt>
            <c:idx val="1"/>
            <c:bubble3D val="0"/>
            <c:explosion val="0"/>
            <c:spPr>
              <a:solidFill>
                <a:srgbClr val="00B0F0"/>
              </a:solidFill>
              <a:ln w="12700">
                <a:noFill/>
              </a:ln>
              <a:effectLst>
                <a:outerShdw blurRad="63500" sx="102000" sy="102000" algn="ctr" rotWithShape="0">
                  <a:schemeClr val="tx1">
                    <a:lumMod val="50000"/>
                    <a:lumOff val="50000"/>
                    <a:alpha val="40000"/>
                  </a:schemeClr>
                </a:outerShdw>
              </a:effectLst>
              <a:sp3d contourW="12700"/>
            </c:spPr>
          </c:dPt>
          <c:dLbls>
            <c:dLbl>
              <c:idx val="0"/>
              <c:delete val="1"/>
            </c:dLbl>
            <c:dLbl>
              <c:idx val="1"/>
              <c:layout>
                <c:manualLayout>
                  <c:x val="0.224783029965783"/>
                  <c:y val="-0.0232000217151582"/>
                </c:manualLayout>
              </c:layout>
              <c:showLegendKey val="0"/>
              <c:showVal val="1"/>
              <c:showCatName val="0"/>
              <c:showSerName val="0"/>
              <c:showPercent val="0"/>
              <c:showBubbleSize val="0"/>
              <c:extLst>
                <c:ext xmlns:c15="http://schemas.microsoft.com/office/drawing/2012/chart" uri="{CE6537A1-D6FC-4f65-9D91-7224C49458BB}">
                  <c15:layout>
                    <c:manualLayout>
                      <c:w val="0.251680358476475"/>
                      <c:h val="0.219689119170984"/>
                    </c:manualLayout>
                  </c15:layout>
                </c:ext>
              </c:extLst>
            </c:dLbl>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rgbClr val="00B0F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男生</c:v>
                </c:pt>
                <c:pt idx="1">
                  <c:v>女生</c:v>
                </c:pt>
              </c:strCache>
            </c:strRef>
          </c:cat>
          <c:val>
            <c:numRef>
              <c:f>Sheet1!$B$2:$B$3</c:f>
              <c:numCache>
                <c:formatCode>0.00%</c:formatCode>
                <c:ptCount val="2"/>
                <c:pt idx="0">
                  <c:v>0.2961</c:v>
                </c:pt>
                <c:pt idx="1">
                  <c:v>0.7039</c:v>
                </c:pt>
              </c:numCache>
            </c:numRef>
          </c:val>
        </c:ser>
        <c:dLbls>
          <c:showLegendKey val="0"/>
          <c:showVal val="1"/>
          <c:showCatName val="0"/>
          <c:showSerName val="0"/>
          <c:showPercent val="0"/>
          <c:showBubbleSize val="0"/>
          <c:showLeaderLines val="1"/>
        </c:dLbls>
        <c:firstSliceAng val="0"/>
        <c:holeSize val="65"/>
      </c:doughnutChart>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51047233858154"/>
          <c:y val="0.0900287882753206"/>
          <c:w val="0.489238769319659"/>
          <c:h val="0.886417168280555"/>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Lbls>
            <c:dLbl>
              <c:idx val="1"/>
              <c:layout>
                <c:manualLayout>
                  <c:x val="-0.184330442451859"/>
                  <c:y val="-0.0961481917083211"/>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Sheet0!$A$2:$A$4</c:f>
              <c:strCache>
                <c:ptCount val="3"/>
                <c:pt idx="0">
                  <c:v>省内就业</c:v>
                </c:pt>
                <c:pt idx="1">
                  <c:v>回生源地就业</c:v>
                </c:pt>
                <c:pt idx="2">
                  <c:v>其他省份就业</c:v>
                </c:pt>
              </c:strCache>
            </c:strRef>
          </c:cat>
          <c:val>
            <c:numRef>
              <c:f>Sheet0!$B$2:$B$4</c:f>
              <c:numCache>
                <c:formatCode>General</c:formatCode>
                <c:ptCount val="3"/>
                <c:pt idx="0">
                  <c:v>2720</c:v>
                </c:pt>
                <c:pt idx="1">
                  <c:v>5636</c:v>
                </c:pt>
                <c:pt idx="2">
                  <c:v>1644</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Sheet0!$A$13:$A$22</c:f>
              <c:strCache>
                <c:ptCount val="10"/>
                <c:pt idx="0">
                  <c:v>科学研究和技术服务业</c:v>
                </c:pt>
                <c:pt idx="1">
                  <c:v>租赁和商务服务业</c:v>
                </c:pt>
                <c:pt idx="2">
                  <c:v>居民服务、修理和其他服务业</c:v>
                </c:pt>
                <c:pt idx="3">
                  <c:v>住宿和餐饮业</c:v>
                </c:pt>
                <c:pt idx="4">
                  <c:v>信息传输、软件和信息技术服务业</c:v>
                </c:pt>
                <c:pt idx="5">
                  <c:v>建筑业</c:v>
                </c:pt>
                <c:pt idx="6">
                  <c:v>文化、体育和娱乐业</c:v>
                </c:pt>
                <c:pt idx="7">
                  <c:v>制造业</c:v>
                </c:pt>
                <c:pt idx="8">
                  <c:v>批发和零售业</c:v>
                </c:pt>
                <c:pt idx="9">
                  <c:v>教育</c:v>
                </c:pt>
              </c:strCache>
            </c:strRef>
          </c:cat>
          <c:val>
            <c:numRef>
              <c:f>Sheet0!$B$13:$B$22</c:f>
              <c:numCache>
                <c:formatCode>General</c:formatCode>
                <c:ptCount val="10"/>
                <c:pt idx="0">
                  <c:v>30</c:v>
                </c:pt>
                <c:pt idx="1">
                  <c:v>30</c:v>
                </c:pt>
                <c:pt idx="2">
                  <c:v>30</c:v>
                </c:pt>
                <c:pt idx="3">
                  <c:v>30</c:v>
                </c:pt>
                <c:pt idx="4">
                  <c:v>30</c:v>
                </c:pt>
                <c:pt idx="5">
                  <c:v>30</c:v>
                </c:pt>
                <c:pt idx="6">
                  <c:v>30</c:v>
                </c:pt>
                <c:pt idx="7">
                  <c:v>30</c:v>
                </c:pt>
                <c:pt idx="8">
                  <c:v>30</c:v>
                </c:pt>
                <c:pt idx="9">
                  <c:v>30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rgbClr val="4F80BD"/>
            </a:solidFill>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Sheet0!$A$13:$A$22</c:f>
              <c:strCache>
                <c:ptCount val="10"/>
                <c:pt idx="0">
                  <c:v>科学研究和技术服务业</c:v>
                </c:pt>
                <c:pt idx="1">
                  <c:v>租赁和商务服务业</c:v>
                </c:pt>
                <c:pt idx="2">
                  <c:v>居民服务、修理和其他服务业</c:v>
                </c:pt>
                <c:pt idx="3">
                  <c:v>住宿和餐饮业</c:v>
                </c:pt>
                <c:pt idx="4">
                  <c:v>信息传输、软件和信息技术服务业</c:v>
                </c:pt>
                <c:pt idx="5">
                  <c:v>建筑业</c:v>
                </c:pt>
                <c:pt idx="6">
                  <c:v>文化、体育和娱乐业</c:v>
                </c:pt>
                <c:pt idx="7">
                  <c:v>制造业</c:v>
                </c:pt>
                <c:pt idx="8">
                  <c:v>批发和零售业</c:v>
                </c:pt>
                <c:pt idx="9">
                  <c:v>教育</c:v>
                </c:pt>
              </c:strCache>
            </c:strRef>
          </c:cat>
          <c:val>
            <c:numRef>
              <c:f>Sheet0!$C$13:$C$22</c:f>
              <c:numCache>
                <c:formatCode>General</c:formatCode>
                <c:ptCount val="10"/>
                <c:pt idx="0">
                  <c:v>3.26</c:v>
                </c:pt>
                <c:pt idx="1">
                  <c:v>3.37</c:v>
                </c:pt>
                <c:pt idx="2">
                  <c:v>4.56</c:v>
                </c:pt>
                <c:pt idx="3">
                  <c:v>6.32</c:v>
                </c:pt>
                <c:pt idx="4">
                  <c:v>6.71</c:v>
                </c:pt>
                <c:pt idx="5">
                  <c:v>6.75</c:v>
                </c:pt>
                <c:pt idx="6">
                  <c:v>7.82</c:v>
                </c:pt>
                <c:pt idx="7">
                  <c:v>10.58</c:v>
                </c:pt>
                <c:pt idx="8">
                  <c:v>13.76</c:v>
                </c:pt>
                <c:pt idx="9">
                  <c:v>20.24</c:v>
                </c:pt>
              </c:numCache>
            </c:numRef>
          </c:val>
        </c:ser>
        <c:dLbls>
          <c:showLegendKey val="0"/>
          <c:showVal val="1"/>
          <c:showCatName val="0"/>
          <c:showSerName val="0"/>
          <c:showPercent val="1"/>
          <c:showBubbleSize val="1"/>
        </c:dLbls>
        <c:gapWidth val="150"/>
        <c:overlap val="0"/>
        <c:axId val="139982762"/>
        <c:axId val="232372216"/>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232372216"/>
        <c:scaling>
          <c:orientation val="minMax"/>
          <c:max val="31"/>
          <c:min val="0"/>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39982762"/>
        <c:crosses val="max"/>
        <c:crossBetween val="between"/>
      </c:valAx>
      <c:catAx>
        <c:axId val="139982762"/>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232372216"/>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33544024695"/>
          <c:y val="0.00529193861351208"/>
          <c:w val="0.661325885638689"/>
          <c:h val="0.989063326865408"/>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Sheet0!$A$9:$A$18</c:f>
              <c:strCache>
                <c:ptCount val="10"/>
                <c:pt idx="0">
                  <c:v>金融业务人员</c:v>
                </c:pt>
                <c:pt idx="1">
                  <c:v>体育工作人员</c:v>
                </c:pt>
                <c:pt idx="2">
                  <c:v>文学艺术工作人员</c:v>
                </c:pt>
                <c:pt idx="3">
                  <c:v>经济业务人员</c:v>
                </c:pt>
                <c:pt idx="4">
                  <c:v>其他专业技术人员</c:v>
                </c:pt>
                <c:pt idx="5">
                  <c:v>工程技术人员</c:v>
                </c:pt>
                <c:pt idx="6">
                  <c:v>办事人员和有关人员</c:v>
                </c:pt>
                <c:pt idx="7">
                  <c:v>商业和服务业人员</c:v>
                </c:pt>
                <c:pt idx="8">
                  <c:v>教学人员</c:v>
                </c:pt>
                <c:pt idx="9">
                  <c:v>其他人员</c:v>
                </c:pt>
              </c:strCache>
            </c:strRef>
          </c:cat>
          <c:val>
            <c:numRef>
              <c:f>Sheet0!$B$9:$B$18</c:f>
              <c:numCache>
                <c:formatCode>General</c:formatCode>
                <c:ptCount val="10"/>
                <c:pt idx="0">
                  <c:v>70</c:v>
                </c:pt>
                <c:pt idx="1">
                  <c:v>70</c:v>
                </c:pt>
                <c:pt idx="2">
                  <c:v>70</c:v>
                </c:pt>
                <c:pt idx="3">
                  <c:v>70</c:v>
                </c:pt>
                <c:pt idx="4">
                  <c:v>70</c:v>
                </c:pt>
                <c:pt idx="5">
                  <c:v>70</c:v>
                </c:pt>
                <c:pt idx="6">
                  <c:v>70</c:v>
                </c:pt>
                <c:pt idx="7">
                  <c:v>70</c:v>
                </c:pt>
                <c:pt idx="8">
                  <c:v>70</c:v>
                </c:pt>
                <c:pt idx="9">
                  <c:v>70</c:v>
                </c:pt>
              </c:numCache>
            </c:numRef>
          </c:val>
        </c:ser>
        <c:dLbls>
          <c:showLegendKey val="0"/>
          <c:showVal val="1"/>
          <c:showCatName val="0"/>
          <c:showSerName val="0"/>
          <c:showPercent val="0"/>
          <c:showBubbleSize val="0"/>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3"/>
              <c:layout>
                <c:manualLayout>
                  <c:x val="0.0173452888431574"/>
                  <c:y val="0.00176397953783736"/>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0314567102748787"/>
                  <c:y val="-0.0019403774916211"/>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0377774511245039"/>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6"/>
              <c:layout>
                <c:manualLayout>
                  <c:x val="0.0408643245626929"/>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7"/>
              <c:layout>
                <c:manualLayout>
                  <c:x val="0.0692341613993826"/>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8"/>
              <c:layout>
                <c:manualLayout>
                  <c:x val="0.0959870645303543"/>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9"/>
              <c:layout>
                <c:manualLayout>
                  <c:x val="0.0959870645303543"/>
                  <c:y val="-0.0019403774916211"/>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in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Sheet0!$A$9:$A$18</c:f>
              <c:strCache>
                <c:ptCount val="10"/>
                <c:pt idx="0">
                  <c:v>金融业务人员</c:v>
                </c:pt>
                <c:pt idx="1">
                  <c:v>体育工作人员</c:v>
                </c:pt>
                <c:pt idx="2">
                  <c:v>文学艺术工作人员</c:v>
                </c:pt>
                <c:pt idx="3">
                  <c:v>经济业务人员</c:v>
                </c:pt>
                <c:pt idx="4">
                  <c:v>其他专业技术人员</c:v>
                </c:pt>
                <c:pt idx="5">
                  <c:v>工程技术人员</c:v>
                </c:pt>
                <c:pt idx="6">
                  <c:v>办事人员和有关人员</c:v>
                </c:pt>
                <c:pt idx="7">
                  <c:v>商业和服务业人员</c:v>
                </c:pt>
                <c:pt idx="8">
                  <c:v>教学人员</c:v>
                </c:pt>
                <c:pt idx="9">
                  <c:v>其他人员</c:v>
                </c:pt>
              </c:strCache>
            </c:strRef>
          </c:cat>
          <c:val>
            <c:numRef>
              <c:f>Sheet0!$C$9:$C$18</c:f>
              <c:numCache>
                <c:formatCode>0.00_);[Red]\(0.00\)</c:formatCode>
                <c:ptCount val="10"/>
                <c:pt idx="0">
                  <c:v>1.46</c:v>
                </c:pt>
                <c:pt idx="1">
                  <c:v>1.62</c:v>
                </c:pt>
                <c:pt idx="2">
                  <c:v>2.02</c:v>
                </c:pt>
                <c:pt idx="3">
                  <c:v>3.72</c:v>
                </c:pt>
                <c:pt idx="4">
                  <c:v>5.11</c:v>
                </c:pt>
                <c:pt idx="5">
                  <c:v>5.9</c:v>
                </c:pt>
                <c:pt idx="6">
                  <c:v>6.22</c:v>
                </c:pt>
                <c:pt idx="7">
                  <c:v>9.78</c:v>
                </c:pt>
                <c:pt idx="8">
                  <c:v>16.94</c:v>
                </c:pt>
                <c:pt idx="9">
                  <c:v>43.19</c:v>
                </c:pt>
              </c:numCache>
            </c:numRef>
          </c:val>
        </c:ser>
        <c:dLbls>
          <c:showLegendKey val="0"/>
          <c:showVal val="1"/>
          <c:showCatName val="0"/>
          <c:showSerName val="0"/>
          <c:showPercent val="0"/>
          <c:showBubbleSize val="0"/>
        </c:dLbls>
        <c:gapWidth val="150"/>
        <c:axId val="181407154"/>
        <c:axId val="242862786"/>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242862786"/>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81407154"/>
        <c:crosses val="max"/>
        <c:crossBetween val="between"/>
      </c:valAx>
      <c:catAx>
        <c:axId val="181407154"/>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242862786"/>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189431704885"/>
          <c:y val="0.0108488491423545"/>
          <c:w val="0.695769833357072"/>
          <c:h val="0.976103210672922"/>
        </c:manualLayout>
      </c:layout>
      <c:barChart>
        <c:barDir val="bar"/>
        <c:grouping val="none"/>
        <c:varyColors val="0"/>
        <c:ser>
          <c:idx val="0"/>
          <c:order val="0"/>
          <c:tx>
            <c:strRef>
              <c:f>Sheet0!$C$1</c:f>
              <c:strCache>
                <c:ptCount val="1"/>
                <c:pt idx="0">
                  <c:v>辅助</c:v>
                </c:pt>
              </c:strCache>
            </c:strRef>
          </c:tx>
          <c:spPr>
            <a:noFill/>
            <a:ln>
              <a:solidFill>
                <a:schemeClr val="accent1"/>
              </a:solidFill>
            </a:ln>
          </c:spPr>
          <c:invertIfNegative val="0"/>
          <c:dLbls>
            <c:delete val="1"/>
          </c:dLbls>
          <c:cat>
            <c:strRef>
              <c:f>Sheet0!$A$4:$A$13</c:f>
              <c:strCache>
                <c:ptCount val="10"/>
                <c:pt idx="0">
                  <c:v>高等教育单位</c:v>
                </c:pt>
                <c:pt idx="1">
                  <c:v>医疗卫生单位</c:v>
                </c:pt>
                <c:pt idx="2">
                  <c:v>城镇社区</c:v>
                </c:pt>
                <c:pt idx="3">
                  <c:v>机关</c:v>
                </c:pt>
                <c:pt idx="4">
                  <c:v>中初教育单位</c:v>
                </c:pt>
                <c:pt idx="5">
                  <c:v>三资企业</c:v>
                </c:pt>
                <c:pt idx="6">
                  <c:v>国有企业</c:v>
                </c:pt>
                <c:pt idx="7">
                  <c:v>其他事业单位</c:v>
                </c:pt>
                <c:pt idx="8">
                  <c:v>其他</c:v>
                </c:pt>
                <c:pt idx="9">
                  <c:v>其他企业</c:v>
                </c:pt>
              </c:strCache>
            </c:strRef>
          </c:cat>
          <c:val>
            <c:numRef>
              <c:f>Sheet0!$C$4:$C$13</c:f>
              <c:numCache>
                <c:formatCode>0.00_);[Red]\(0.00\)</c:formatCode>
                <c:ptCount val="10"/>
                <c:pt idx="0">
                  <c:v>80</c:v>
                </c:pt>
                <c:pt idx="1">
                  <c:v>80</c:v>
                </c:pt>
                <c:pt idx="2">
                  <c:v>80</c:v>
                </c:pt>
                <c:pt idx="3">
                  <c:v>80</c:v>
                </c:pt>
                <c:pt idx="4">
                  <c:v>80</c:v>
                </c:pt>
                <c:pt idx="5">
                  <c:v>80</c:v>
                </c:pt>
                <c:pt idx="6">
                  <c:v>80</c:v>
                </c:pt>
                <c:pt idx="7">
                  <c:v>80</c:v>
                </c:pt>
                <c:pt idx="8">
                  <c:v>80</c:v>
                </c:pt>
                <c:pt idx="9">
                  <c:v>80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Sheet0!$D$1</c:f>
              <c:strCache>
                <c:ptCount val="1"/>
                <c:pt idx="0">
                  <c:v>占比</c:v>
                </c:pt>
              </c:strCache>
            </c:strRef>
          </c:tx>
          <c:spPr>
            <a:solidFill>
              <a:schemeClr val="accent1"/>
            </a:solidFill>
          </c:spPr>
          <c:invertIfNegative val="0"/>
          <c:dLbls>
            <c:dLbl>
              <c:idx val="6"/>
              <c:layout>
                <c:manualLayout>
                  <c:x val="0.0146408418484063"/>
                  <c:y val="-0.00232165470662727"/>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7"/>
              <c:layout>
                <c:manualLayout>
                  <c:x val="0.0260789995424737"/>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8"/>
              <c:layout>
                <c:manualLayout>
                  <c:x val="0.101212378582855"/>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9"/>
              <c:layout>
                <c:manualLayout>
                  <c:x val="0.0973572447415579"/>
                  <c:y val="-0.000381277215006173"/>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in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Sheet0!$A$4:$A$13</c:f>
              <c:strCache>
                <c:ptCount val="10"/>
                <c:pt idx="0">
                  <c:v>高等教育单位</c:v>
                </c:pt>
                <c:pt idx="1">
                  <c:v>医疗卫生单位</c:v>
                </c:pt>
                <c:pt idx="2">
                  <c:v>城镇社区</c:v>
                </c:pt>
                <c:pt idx="3">
                  <c:v>机关</c:v>
                </c:pt>
                <c:pt idx="4">
                  <c:v>中初教育单位</c:v>
                </c:pt>
                <c:pt idx="5">
                  <c:v>三资企业</c:v>
                </c:pt>
                <c:pt idx="6">
                  <c:v>国有企业</c:v>
                </c:pt>
                <c:pt idx="7">
                  <c:v>其他事业单位</c:v>
                </c:pt>
                <c:pt idx="8">
                  <c:v>其他</c:v>
                </c:pt>
                <c:pt idx="9">
                  <c:v>其他企业</c:v>
                </c:pt>
              </c:strCache>
            </c:strRef>
          </c:cat>
          <c:val>
            <c:numRef>
              <c:f>Sheet0!$D$4:$D$13</c:f>
              <c:numCache>
                <c:formatCode>General</c:formatCode>
                <c:ptCount val="10"/>
                <c:pt idx="0">
                  <c:v>0.24</c:v>
                </c:pt>
                <c:pt idx="1">
                  <c:v>0.28</c:v>
                </c:pt>
                <c:pt idx="2">
                  <c:v>0.28</c:v>
                </c:pt>
                <c:pt idx="3">
                  <c:v>0.75</c:v>
                </c:pt>
                <c:pt idx="4">
                  <c:v>1.15</c:v>
                </c:pt>
                <c:pt idx="5">
                  <c:v>1.98</c:v>
                </c:pt>
                <c:pt idx="6">
                  <c:v>3.17</c:v>
                </c:pt>
                <c:pt idx="7">
                  <c:v>4.32</c:v>
                </c:pt>
                <c:pt idx="8">
                  <c:v>25.18</c:v>
                </c:pt>
                <c:pt idx="9">
                  <c:v>62.51</c:v>
                </c:pt>
              </c:numCache>
            </c:numRef>
          </c:val>
        </c:ser>
        <c:dLbls>
          <c:showLegendKey val="0"/>
          <c:showVal val="1"/>
          <c:showCatName val="0"/>
          <c:showSerName val="0"/>
          <c:showPercent val="1"/>
          <c:showBubbleSize val="1"/>
        </c:dLbls>
        <c:gapWidth val="150"/>
        <c:axId val="724153811"/>
        <c:axId val="990280770"/>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0.00_);[Red]\(0.00\)"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99028077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724153811"/>
        <c:crosses val="max"/>
        <c:crossBetween val="between"/>
      </c:valAx>
      <c:catAx>
        <c:axId val="724153811"/>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990280770"/>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1236219315008"/>
          <c:y val="0.0274629468177855"/>
          <c:w val="0.455534323092753"/>
          <c:h val="0.948125544899738"/>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Sheet0!$A$2:$A$7</c:f>
              <c:strCache>
                <c:ptCount val="6"/>
                <c:pt idx="0">
                  <c:v>仅为世界500强的大型企业</c:v>
                </c:pt>
                <c:pt idx="1">
                  <c:v>非500强大型企业</c:v>
                </c:pt>
                <c:pt idx="2">
                  <c:v>同时属于中国500强和世界500强的大型企业</c:v>
                </c:pt>
                <c:pt idx="3">
                  <c:v>仅为中国500强的大型企业</c:v>
                </c:pt>
                <c:pt idx="4">
                  <c:v>中型企业</c:v>
                </c:pt>
                <c:pt idx="5">
                  <c:v>小微企业</c:v>
                </c:pt>
              </c:strCache>
            </c:strRef>
          </c:cat>
          <c:val>
            <c:numRef>
              <c:f>Sheet0!$B$2:$B$7</c:f>
              <c:numCache>
                <c:formatCode>General</c:formatCode>
                <c:ptCount val="6"/>
                <c:pt idx="0">
                  <c:v>70</c:v>
                </c:pt>
                <c:pt idx="1">
                  <c:v>70</c:v>
                </c:pt>
                <c:pt idx="2">
                  <c:v>70</c:v>
                </c:pt>
                <c:pt idx="3">
                  <c:v>70</c:v>
                </c:pt>
                <c:pt idx="4">
                  <c:v>70</c:v>
                </c:pt>
                <c:pt idx="5">
                  <c:v>70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1"/>
              <c:layout>
                <c:manualLayout>
                  <c:x val="0.0188152285756284"/>
                  <c:y val="0.00294031167303734"/>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0345435837130678"/>
                  <c:y val="-0.00323434284034108"/>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0692341613993826"/>
                  <c:y val="0.00323434284034108"/>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122886961634573"/>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162134352491548"/>
                  <c:y val="-0.00323434284034108"/>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仅为世界500强的大型企业</c:v>
                </c:pt>
                <c:pt idx="1">
                  <c:v>非500强大型企业</c:v>
                </c:pt>
                <c:pt idx="2">
                  <c:v>同时属于中国500强和世界500强的大型企业</c:v>
                </c:pt>
                <c:pt idx="3">
                  <c:v>仅为中国500强的大型企业</c:v>
                </c:pt>
                <c:pt idx="4">
                  <c:v>中型企业</c:v>
                </c:pt>
                <c:pt idx="5">
                  <c:v>小微企业</c:v>
                </c:pt>
              </c:strCache>
            </c:strRef>
          </c:cat>
          <c:val>
            <c:numRef>
              <c:f>Sheet0!$C$2:$C$7</c:f>
              <c:numCache>
                <c:formatCode>0.00_);[Red]\(0.00\)</c:formatCode>
                <c:ptCount val="6"/>
                <c:pt idx="0">
                  <c:v>2.59</c:v>
                </c:pt>
                <c:pt idx="1">
                  <c:v>4.9</c:v>
                </c:pt>
                <c:pt idx="2">
                  <c:v>8.65</c:v>
                </c:pt>
                <c:pt idx="3">
                  <c:v>13.83</c:v>
                </c:pt>
                <c:pt idx="4">
                  <c:v>27.67</c:v>
                </c:pt>
                <c:pt idx="5">
                  <c:v>42.36</c:v>
                </c:pt>
              </c:numCache>
            </c:numRef>
          </c:val>
        </c:ser>
        <c:dLbls>
          <c:showLegendKey val="0"/>
          <c:showVal val="1"/>
          <c:showCatName val="0"/>
          <c:showSerName val="0"/>
          <c:showPercent val="1"/>
          <c:showBubbleSize val="1"/>
        </c:dLbls>
        <c:gapWidth val="150"/>
        <c:axId val="477188939"/>
        <c:axId val="229510703"/>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229510703"/>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477188939"/>
        <c:crosses val="max"/>
        <c:crossBetween val="between"/>
      </c:valAx>
      <c:catAx>
        <c:axId val="477188939"/>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229510703"/>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非常多</c:v>
                </c:pt>
                <c:pt idx="1">
                  <c:v>比较多</c:v>
                </c:pt>
                <c:pt idx="2">
                  <c:v>一般</c:v>
                </c:pt>
                <c:pt idx="3">
                  <c:v>比较少</c:v>
                </c:pt>
                <c:pt idx="4">
                  <c:v>很少</c:v>
                </c:pt>
              </c:strCache>
            </c:strRef>
          </c:cat>
          <c:val>
            <c:numRef>
              <c:f>Sheet0!$B$2:$B$6</c:f>
              <c:numCache>
                <c:formatCode>General</c:formatCode>
                <c:ptCount val="5"/>
                <c:pt idx="0">
                  <c:v>1794</c:v>
                </c:pt>
                <c:pt idx="1">
                  <c:v>2249</c:v>
                </c:pt>
                <c:pt idx="2">
                  <c:v>3852</c:v>
                </c:pt>
                <c:pt idx="3">
                  <c:v>1136</c:v>
                </c:pt>
                <c:pt idx="4">
                  <c:v>969</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310733483412005"/>
          <c:y val="0.144835225699252"/>
          <c:w val="0.396557345038502"/>
          <c:h val="0.785976438227794"/>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2"/>
              <c:layout>
                <c:manualLayout>
                  <c:x val="-0.0838340086628476"/>
                  <c:y val="-0.0706175574633066"/>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很相关</c:v>
                </c:pt>
                <c:pt idx="1">
                  <c:v>比较相关</c:v>
                </c:pt>
                <c:pt idx="2">
                  <c:v>基本相关</c:v>
                </c:pt>
                <c:pt idx="3">
                  <c:v>比较不相关</c:v>
                </c:pt>
                <c:pt idx="4">
                  <c:v>很不相关</c:v>
                </c:pt>
              </c:strCache>
            </c:strRef>
          </c:cat>
          <c:val>
            <c:numRef>
              <c:f>Sheet0!$B$2:$B$6</c:f>
              <c:numCache>
                <c:formatCode>General</c:formatCode>
                <c:ptCount val="5"/>
                <c:pt idx="0">
                  <c:v>2486</c:v>
                </c:pt>
                <c:pt idx="1">
                  <c:v>1920</c:v>
                </c:pt>
                <c:pt idx="2">
                  <c:v>2832</c:v>
                </c:pt>
                <c:pt idx="3">
                  <c:v>1153</c:v>
                </c:pt>
                <c:pt idx="4">
                  <c:v>1609</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329413494047"/>
          <c:y val="0.00882093501911203"/>
          <c:w val="0.514331912391592"/>
          <c:h val="0.981182005292561"/>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Sheet0!$A$2:$A$7</c:f>
              <c:strCache>
                <c:ptCount val="6"/>
                <c:pt idx="0">
                  <c:v>达不到专业相关工作的要求</c:v>
                </c:pt>
                <c:pt idx="1">
                  <c:v>专业工作不符合自己的职业预期</c:v>
                </c:pt>
                <c:pt idx="2">
                  <c:v>专业工作环境不好</c:v>
                </c:pt>
                <c:pt idx="3">
                  <c:v>专业相关工作收入低</c:v>
                </c:pt>
                <c:pt idx="4">
                  <c:v>专业相关工作岗位招聘少</c:v>
                </c:pt>
                <c:pt idx="5">
                  <c:v>迫于现实先就业后择业</c:v>
                </c:pt>
              </c:strCache>
            </c:strRef>
          </c:cat>
          <c:val>
            <c:numRef>
              <c:f>Sheet0!$B$2:$B$7</c:f>
              <c:numCache>
                <c:formatCode>General</c:formatCode>
                <c:ptCount val="6"/>
                <c:pt idx="0">
                  <c:v>60</c:v>
                </c:pt>
                <c:pt idx="1">
                  <c:v>60</c:v>
                </c:pt>
                <c:pt idx="2">
                  <c:v>60</c:v>
                </c:pt>
                <c:pt idx="3">
                  <c:v>60</c:v>
                </c:pt>
                <c:pt idx="4">
                  <c:v>60</c:v>
                </c:pt>
                <c:pt idx="5">
                  <c:v>60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095546082610613"/>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092606203145671"/>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095546082610613"/>
                  <c:y val="0.00294031167303734"/>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094076142878142"/>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095546082610613"/>
                  <c:y val="0.00294031167303734"/>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092606203145671"/>
                  <c:y val="0.00294031167303734"/>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in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达不到专业相关工作的要求</c:v>
                </c:pt>
                <c:pt idx="1">
                  <c:v>专业工作不符合自己的职业预期</c:v>
                </c:pt>
                <c:pt idx="2">
                  <c:v>专业工作环境不好</c:v>
                </c:pt>
                <c:pt idx="3">
                  <c:v>专业相关工作收入低</c:v>
                </c:pt>
                <c:pt idx="4">
                  <c:v>专业相关工作岗位招聘少</c:v>
                </c:pt>
                <c:pt idx="5">
                  <c:v>迫于现实先就业后择业</c:v>
                </c:pt>
              </c:strCache>
            </c:strRef>
          </c:cat>
          <c:val>
            <c:numRef>
              <c:f>Sheet0!$C$2:$C$7</c:f>
              <c:numCache>
                <c:formatCode>General</c:formatCode>
                <c:ptCount val="6"/>
                <c:pt idx="0">
                  <c:v>16.91</c:v>
                </c:pt>
                <c:pt idx="1">
                  <c:v>17.12</c:v>
                </c:pt>
                <c:pt idx="2">
                  <c:v>17.75</c:v>
                </c:pt>
                <c:pt idx="3">
                  <c:v>21.92</c:v>
                </c:pt>
                <c:pt idx="4">
                  <c:v>27.56</c:v>
                </c:pt>
                <c:pt idx="5">
                  <c:v>42.38</c:v>
                </c:pt>
              </c:numCache>
            </c:numRef>
          </c:val>
        </c:ser>
        <c:dLbls>
          <c:showLegendKey val="0"/>
          <c:showVal val="1"/>
          <c:showCatName val="0"/>
          <c:showSerName val="0"/>
          <c:showPercent val="1"/>
          <c:showBubbleSize val="1"/>
        </c:dLbls>
        <c:gapWidth val="150"/>
        <c:axId val="120055583"/>
        <c:axId val="778277202"/>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max val="65"/>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778277202"/>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20055583"/>
        <c:crosses val="max"/>
        <c:crossBetween val="between"/>
      </c:valAx>
      <c:catAx>
        <c:axId val="120055583"/>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778277202"/>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22061191626409"/>
          <c:y val="0.026158657947114"/>
          <c:w val="0.935587761674718"/>
          <c:h val="0.84020471993176"/>
        </c:manualLayout>
      </c:layout>
      <c:barChart>
        <c:barDir val="col"/>
        <c:grouping val="clustered"/>
        <c:varyColors val="0"/>
        <c:ser>
          <c:idx val="0"/>
          <c:order val="0"/>
          <c:tx>
            <c:strRef>
              <c:f>Sheet0!$B$1</c:f>
              <c:strCache>
                <c:ptCount val="1"/>
                <c:pt idx="0">
                  <c:v>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工作总体</c:v>
                </c:pt>
                <c:pt idx="1">
                  <c:v>薪酬福利</c:v>
                </c:pt>
                <c:pt idx="2">
                  <c:v>职业发展</c:v>
                </c:pt>
                <c:pt idx="3">
                  <c:v>工作内容</c:v>
                </c:pt>
              </c:strCache>
            </c:strRef>
          </c:cat>
          <c:val>
            <c:numRef>
              <c:f>Sheet0!$B$2:$B$5</c:f>
              <c:numCache>
                <c:formatCode>General</c:formatCode>
                <c:ptCount val="4"/>
                <c:pt idx="0">
                  <c:v>89.22</c:v>
                </c:pt>
                <c:pt idx="1">
                  <c:v>78.72</c:v>
                </c:pt>
                <c:pt idx="2">
                  <c:v>85.12</c:v>
                </c:pt>
                <c:pt idx="3">
                  <c:v>87.31</c:v>
                </c:pt>
              </c:numCache>
            </c:numRef>
          </c:val>
        </c:ser>
        <c:dLbls>
          <c:showLegendKey val="0"/>
          <c:showVal val="1"/>
          <c:showCatName val="0"/>
          <c:showSerName val="0"/>
          <c:showPercent val="0"/>
          <c:showBubbleSize val="0"/>
        </c:dLbls>
        <c:gapWidth val="150"/>
        <c:overlap val="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573438146463"/>
          <c:y val="0.0119926199261993"/>
          <c:w val="0.627085919183561"/>
          <c:h val="0.976937269372694"/>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Sheet0!$A$2:$A$9</c:f>
              <c:strCache>
                <c:ptCount val="8"/>
                <c:pt idx="0">
                  <c:v>工作不被领导认可</c:v>
                </c:pt>
                <c:pt idx="1">
                  <c:v>其他</c:v>
                </c:pt>
                <c:pt idx="2">
                  <c:v>工作能力不足造成压力大</c:v>
                </c:pt>
                <c:pt idx="3">
                  <c:v>工作氛围不好</c:v>
                </c:pt>
                <c:pt idx="4">
                  <c:v>工作环境条件不好</c:v>
                </c:pt>
                <c:pt idx="5">
                  <c:v>加班多</c:v>
                </c:pt>
                <c:pt idx="6">
                  <c:v>发展空间不够</c:v>
                </c:pt>
                <c:pt idx="7">
                  <c:v>收入低</c:v>
                </c:pt>
              </c:strCache>
            </c:strRef>
          </c:cat>
          <c:val>
            <c:numRef>
              <c:f>Sheet0!$B$2:$B$9</c:f>
              <c:numCache>
                <c:formatCode>General</c:formatCode>
                <c:ptCount val="8"/>
                <c:pt idx="0">
                  <c:v>70</c:v>
                </c:pt>
                <c:pt idx="1">
                  <c:v>70</c:v>
                </c:pt>
                <c:pt idx="2">
                  <c:v>70</c:v>
                </c:pt>
                <c:pt idx="3">
                  <c:v>70</c:v>
                </c:pt>
                <c:pt idx="4">
                  <c:v>70</c:v>
                </c:pt>
                <c:pt idx="5">
                  <c:v>70</c:v>
                </c:pt>
                <c:pt idx="6">
                  <c:v>70</c:v>
                </c:pt>
                <c:pt idx="7">
                  <c:v>70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2"/>
              <c:layout>
                <c:manualLayout>
                  <c:x val="0.0132294575922387"/>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0499779509040129"/>
                  <c:y val="0.00220507166482911"/>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0514478906364839"/>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0632074084962517"/>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6"/>
              <c:layout>
                <c:manualLayout>
                  <c:x val="0.094076142878142"/>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7"/>
              <c:layout>
                <c:manualLayout>
                  <c:x val="0.0984859620755549"/>
                  <c:y val="0.00220507166482911"/>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in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Sheet0!$A$2:$A$9</c:f>
              <c:strCache>
                <c:ptCount val="8"/>
                <c:pt idx="0">
                  <c:v>工作不被领导认可</c:v>
                </c:pt>
                <c:pt idx="1">
                  <c:v>其他</c:v>
                </c:pt>
                <c:pt idx="2">
                  <c:v>工作能力不足造成压力大</c:v>
                </c:pt>
                <c:pt idx="3">
                  <c:v>工作氛围不好</c:v>
                </c:pt>
                <c:pt idx="4">
                  <c:v>工作环境条件不好</c:v>
                </c:pt>
                <c:pt idx="5">
                  <c:v>加班多</c:v>
                </c:pt>
                <c:pt idx="6">
                  <c:v>发展空间不够</c:v>
                </c:pt>
                <c:pt idx="7">
                  <c:v>收入低</c:v>
                </c:pt>
              </c:strCache>
            </c:strRef>
          </c:cat>
          <c:val>
            <c:numRef>
              <c:f>Sheet0!$C$2:$C$9</c:f>
              <c:numCache>
                <c:formatCode>0.00_);[Red]\(0.00\)</c:formatCode>
                <c:ptCount val="8"/>
                <c:pt idx="0">
                  <c:v>1.07</c:v>
                </c:pt>
                <c:pt idx="1">
                  <c:v>1.6</c:v>
                </c:pt>
                <c:pt idx="2">
                  <c:v>3.21</c:v>
                </c:pt>
                <c:pt idx="3">
                  <c:v>8.02</c:v>
                </c:pt>
                <c:pt idx="4">
                  <c:v>8.56</c:v>
                </c:pt>
                <c:pt idx="5">
                  <c:v>9.63</c:v>
                </c:pt>
                <c:pt idx="6">
                  <c:v>18.72</c:v>
                </c:pt>
                <c:pt idx="7">
                  <c:v>49.2</c:v>
                </c:pt>
              </c:numCache>
            </c:numRef>
          </c:val>
        </c:ser>
        <c:dLbls>
          <c:showLegendKey val="0"/>
          <c:showVal val="1"/>
          <c:showCatName val="0"/>
          <c:showSerName val="0"/>
          <c:showPercent val="1"/>
          <c:showBubbleSize val="1"/>
        </c:dLbls>
        <c:gapWidth val="150"/>
        <c:axId val="666288417"/>
        <c:axId val="248298793"/>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248298793"/>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666288417"/>
        <c:crosses val="max"/>
        <c:crossBetween val="between"/>
      </c:valAx>
      <c:catAx>
        <c:axId val="666288417"/>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248298793"/>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309416433926209"/>
          <c:y val="0.173184357541899"/>
          <c:w val="0.391750698221373"/>
          <c:h val="0.783616583357836"/>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0"/>
              <c:layout>
                <c:manualLayout>
                  <c:x val="0.0330736439805968"/>
                  <c:y val="-0.224345780652749"/>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2"/>
              <c:layout>
                <c:manualLayout>
                  <c:x val="-0.0146993973247097"/>
                  <c:y val="0.0405763010879153"/>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0110245479935323"/>
                  <c:y val="0.0108791531902382"/>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717330589445833"/>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很相关</c:v>
                </c:pt>
                <c:pt idx="1">
                  <c:v>比较相关</c:v>
                </c:pt>
                <c:pt idx="2">
                  <c:v>基本相关</c:v>
                </c:pt>
                <c:pt idx="3">
                  <c:v>比较不相关</c:v>
                </c:pt>
                <c:pt idx="4">
                  <c:v>很不相关</c:v>
                </c:pt>
              </c:strCache>
            </c:strRef>
          </c:cat>
          <c:val>
            <c:numRef>
              <c:f>Sheet0!$B$2:$B$6</c:f>
              <c:numCache>
                <c:formatCode>General</c:formatCode>
                <c:ptCount val="5"/>
                <c:pt idx="0">
                  <c:v>6462</c:v>
                </c:pt>
                <c:pt idx="1">
                  <c:v>1480</c:v>
                </c:pt>
                <c:pt idx="2">
                  <c:v>1408</c:v>
                </c:pt>
                <c:pt idx="3">
                  <c:v>325</c:v>
                </c:pt>
                <c:pt idx="4">
                  <c:v>325</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06194347657762"/>
          <c:y val="0.0223761321257326"/>
        </c:manualLayout>
      </c:layout>
      <c:overlay val="0"/>
      <c:tx>
        <c:rich>
          <a:bodyPr/>
          <a:lstStyle/>
          <a:p>
            <a:pPr>
              <a:defRPr/>
            </a:pPr>
          </a:p>
        </c:rich>
      </c:tx>
    </c:title>
    <c:autoTitleDeleted val="0"/>
    <c:plotArea>
      <c:layout>
        <c:manualLayout>
          <c:layoutTarget val="inner"/>
          <c:xMode val="edge"/>
          <c:yMode val="edge"/>
          <c:x val="0.30674925796877"/>
          <c:y val="0.201549251314994"/>
          <c:w val="0.369725125822687"/>
          <c:h val="0.763185935002664"/>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1"/>
              <c:layout>
                <c:manualLayout>
                  <c:x val="0.156794425087108"/>
                  <c:y val="-0.168009432108469"/>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0571642660211907"/>
                  <c:y val="0.0290601714165051"/>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326593520234776"/>
                  <c:y val="0.0110646330362579"/>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很适应</c:v>
                </c:pt>
                <c:pt idx="1">
                  <c:v>比较适应</c:v>
                </c:pt>
                <c:pt idx="2">
                  <c:v>基本适应</c:v>
                </c:pt>
                <c:pt idx="3">
                  <c:v>比较不适应</c:v>
                </c:pt>
                <c:pt idx="4">
                  <c:v>很不适应</c:v>
                </c:pt>
              </c:strCache>
            </c:strRef>
          </c:cat>
          <c:val>
            <c:numRef>
              <c:f>Sheet0!$B$2:$B$6</c:f>
              <c:numCache>
                <c:formatCode>General</c:formatCode>
                <c:ptCount val="5"/>
                <c:pt idx="0">
                  <c:v>2595</c:v>
                </c:pt>
                <c:pt idx="1">
                  <c:v>3529</c:v>
                </c:pt>
                <c:pt idx="2">
                  <c:v>3345</c:v>
                </c:pt>
                <c:pt idx="3">
                  <c:v>340</c:v>
                </c:pt>
                <c:pt idx="4">
                  <c:v>190</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Sheet0!$A$2:$A$7</c:f>
              <c:strCache>
                <c:ptCount val="6"/>
                <c:pt idx="0">
                  <c:v>人际关系不和谐</c:v>
                </c:pt>
                <c:pt idx="1">
                  <c:v>能力不适应岗位要求</c:v>
                </c:pt>
                <c:pt idx="2">
                  <c:v>对单位管理制度和文化不适应</c:v>
                </c:pt>
                <c:pt idx="3">
                  <c:v>工作环境不好</c:v>
                </c:pt>
                <c:pt idx="4">
                  <c:v>工作量大</c:v>
                </c:pt>
                <c:pt idx="5">
                  <c:v>其他</c:v>
                </c:pt>
              </c:strCache>
            </c:strRef>
          </c:cat>
          <c:val>
            <c:numRef>
              <c:f>Sheet0!$B$2:$B$7</c:f>
              <c:numCache>
                <c:formatCode>General</c:formatCode>
                <c:ptCount val="6"/>
                <c:pt idx="0">
                  <c:v>70</c:v>
                </c:pt>
                <c:pt idx="1">
                  <c:v>70</c:v>
                </c:pt>
                <c:pt idx="2">
                  <c:v>70</c:v>
                </c:pt>
                <c:pt idx="3">
                  <c:v>70</c:v>
                </c:pt>
                <c:pt idx="4">
                  <c:v>70</c:v>
                </c:pt>
                <c:pt idx="5">
                  <c:v>70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0560989643268124"/>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071921749136939"/>
                  <c:y val="0.00270197243988111"/>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0791139240506329"/>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0934982738780207"/>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0934982738780207"/>
                  <c:y val="0.00270197243988111"/>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0963751438434983"/>
                  <c:y val="0.00540394487976223"/>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in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人际关系不和谐</c:v>
                </c:pt>
                <c:pt idx="1">
                  <c:v>能力不适应岗位要求</c:v>
                </c:pt>
                <c:pt idx="2">
                  <c:v>对单位管理制度和文化不适应</c:v>
                </c:pt>
                <c:pt idx="3">
                  <c:v>工作环境不好</c:v>
                </c:pt>
                <c:pt idx="4">
                  <c:v>工作量大</c:v>
                </c:pt>
                <c:pt idx="5">
                  <c:v>其他</c:v>
                </c:pt>
              </c:strCache>
            </c:strRef>
          </c:cat>
          <c:val>
            <c:numRef>
              <c:f>Sheet0!$C$2:$C$7</c:f>
              <c:numCache>
                <c:formatCode>General</c:formatCode>
                <c:ptCount val="6"/>
                <c:pt idx="0">
                  <c:v>9.78</c:v>
                </c:pt>
                <c:pt idx="1">
                  <c:v>11.96</c:v>
                </c:pt>
                <c:pt idx="2">
                  <c:v>13.04</c:v>
                </c:pt>
                <c:pt idx="3">
                  <c:v>19.57</c:v>
                </c:pt>
                <c:pt idx="4">
                  <c:v>26.09</c:v>
                </c:pt>
                <c:pt idx="5">
                  <c:v>46.74</c:v>
                </c:pt>
              </c:numCache>
            </c:numRef>
          </c:val>
        </c:ser>
        <c:dLbls>
          <c:showLegendKey val="0"/>
          <c:showVal val="1"/>
          <c:showCatName val="0"/>
          <c:showSerName val="0"/>
          <c:showPercent val="1"/>
          <c:showBubbleSize val="1"/>
        </c:dLbls>
        <c:gapWidth val="150"/>
        <c:axId val="68188289"/>
        <c:axId val="80757996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807579961"/>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68188289"/>
        <c:crosses val="max"/>
        <c:crossBetween val="between"/>
      </c:valAx>
      <c:catAx>
        <c:axId val="68188289"/>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807579961"/>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300432779561636"/>
          <c:y val="0.191671263099835"/>
          <c:w val="0.391595700125646"/>
          <c:h val="0.773579702151131"/>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1"/>
              <c:layout>
                <c:manualLayout>
                  <c:x val="0.148680720368561"/>
                  <c:y val="-0.109544195416772"/>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0617374687637807"/>
                  <c:y val="0.0352837400764481"/>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455681317066"/>
                  <c:y val="0.0163546044014636"/>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很胜任</c:v>
                </c:pt>
                <c:pt idx="1">
                  <c:v>比较胜任</c:v>
                </c:pt>
                <c:pt idx="2">
                  <c:v>基本胜任</c:v>
                </c:pt>
                <c:pt idx="3">
                  <c:v>比较不胜任</c:v>
                </c:pt>
                <c:pt idx="4">
                  <c:v>很不胜任</c:v>
                </c:pt>
              </c:strCache>
            </c:strRef>
          </c:cat>
          <c:val>
            <c:numRef>
              <c:f>Sheet0!$B$2:$B$6</c:f>
              <c:numCache>
                <c:formatCode>General</c:formatCode>
                <c:ptCount val="5"/>
                <c:pt idx="0">
                  <c:v>2751</c:v>
                </c:pt>
                <c:pt idx="1">
                  <c:v>3529</c:v>
                </c:pt>
                <c:pt idx="2">
                  <c:v>3345</c:v>
                </c:pt>
                <c:pt idx="3">
                  <c:v>265</c:v>
                </c:pt>
                <c:pt idx="4">
                  <c:v>110</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81093916988375"/>
          <c:y val="0.171246819338422"/>
          <c:w val="0.444521690767519"/>
          <c:h val="0.813486005089059"/>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1"/>
              <c:layout>
                <c:manualLayout>
                  <c:x val="0.050055617352614"/>
                  <c:y val="-0.106870229007634"/>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0330477023100807"/>
                  <c:y val="0.0410670706050661"/>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253807106598985"/>
                  <c:y val="-0.00490196078431373"/>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很吻合</c:v>
                </c:pt>
                <c:pt idx="1">
                  <c:v>比较吻合</c:v>
                </c:pt>
                <c:pt idx="2">
                  <c:v>基本吻合</c:v>
                </c:pt>
                <c:pt idx="3">
                  <c:v>比较不吻合</c:v>
                </c:pt>
                <c:pt idx="4">
                  <c:v>很不吻合</c:v>
                </c:pt>
              </c:strCache>
            </c:strRef>
          </c:cat>
          <c:val>
            <c:numRef>
              <c:f>Sheet0!$B$2:$B$6</c:f>
              <c:numCache>
                <c:formatCode>General</c:formatCode>
                <c:ptCount val="5"/>
                <c:pt idx="0">
                  <c:v>2191</c:v>
                </c:pt>
                <c:pt idx="1">
                  <c:v>2918</c:v>
                </c:pt>
                <c:pt idx="2">
                  <c:v>4025</c:v>
                </c:pt>
                <c:pt idx="3">
                  <c:v>577</c:v>
                </c:pt>
                <c:pt idx="4">
                  <c:v>288</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744394618834"/>
          <c:y val="0.0223768333960135"/>
          <c:w val="0.6110884631064"/>
          <c:h val="0.953365927040241"/>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Sheet0!$A$4:$A$8</c:f>
              <c:strCache>
                <c:ptCount val="5"/>
                <c:pt idx="0">
                  <c:v>其他</c:v>
                </c:pt>
                <c:pt idx="1">
                  <c:v>不符合我的生活方式</c:v>
                </c:pt>
                <c:pt idx="2">
                  <c:v>不符合我的性格</c:v>
                </c:pt>
                <c:pt idx="3">
                  <c:v>不符合我的兴趣爱好</c:v>
                </c:pt>
                <c:pt idx="4">
                  <c:v>不符合我的职业发展规划</c:v>
                </c:pt>
              </c:strCache>
            </c:strRef>
          </c:cat>
          <c:val>
            <c:numRef>
              <c:f>Sheet0!$B$4:$B$8</c:f>
              <c:numCache>
                <c:formatCode>General</c:formatCode>
                <c:ptCount val="5"/>
                <c:pt idx="0">
                  <c:v>80</c:v>
                </c:pt>
                <c:pt idx="1">
                  <c:v>80</c:v>
                </c:pt>
                <c:pt idx="2">
                  <c:v>80</c:v>
                </c:pt>
                <c:pt idx="3">
                  <c:v>80</c:v>
                </c:pt>
                <c:pt idx="4">
                  <c:v>80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1"/>
              <c:layout>
                <c:manualLayout>
                  <c:x val="0.119065118330148"/>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117595178597677"/>
                  <c:y val="0.00294031167303734"/>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132294575922387"/>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227840658533"/>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Sheet0!$A$4:$A$8</c:f>
              <c:strCache>
                <c:ptCount val="5"/>
                <c:pt idx="0">
                  <c:v>其他</c:v>
                </c:pt>
                <c:pt idx="1">
                  <c:v>不符合我的生活方式</c:v>
                </c:pt>
                <c:pt idx="2">
                  <c:v>不符合我的性格</c:v>
                </c:pt>
                <c:pt idx="3">
                  <c:v>不符合我的兴趣爱好</c:v>
                </c:pt>
                <c:pt idx="4">
                  <c:v>不符合我的职业发展规划</c:v>
                </c:pt>
              </c:strCache>
            </c:strRef>
          </c:cat>
          <c:val>
            <c:numRef>
              <c:f>Sheet0!$C$4:$C$8</c:f>
              <c:numCache>
                <c:formatCode>0.00_);[Red]\(0.00\)</c:formatCode>
                <c:ptCount val="5"/>
                <c:pt idx="0">
                  <c:v>2.01</c:v>
                </c:pt>
                <c:pt idx="1">
                  <c:v>25.33</c:v>
                </c:pt>
                <c:pt idx="2">
                  <c:v>25.33</c:v>
                </c:pt>
                <c:pt idx="3">
                  <c:v>29.33</c:v>
                </c:pt>
                <c:pt idx="4">
                  <c:v>62</c:v>
                </c:pt>
              </c:numCache>
            </c:numRef>
          </c:val>
        </c:ser>
        <c:dLbls>
          <c:showLegendKey val="0"/>
          <c:showVal val="1"/>
          <c:showCatName val="0"/>
          <c:showSerName val="0"/>
          <c:showPercent val="1"/>
          <c:showBubbleSize val="1"/>
        </c:dLbls>
        <c:gapWidth val="150"/>
        <c:axId val="282066817"/>
        <c:axId val="682711456"/>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682711456"/>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282066817"/>
        <c:crosses val="max"/>
        <c:crossBetween val="between"/>
      </c:valAx>
      <c:catAx>
        <c:axId val="282066817"/>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682711456"/>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309754706217912"/>
          <c:y val="0.170798898071625"/>
          <c:w val="0.406446092413006"/>
          <c:h val="0.785123966942149"/>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Lbls>
            <c:dLbl>
              <c:idx val="0"/>
              <c:layout>
                <c:manualLayout>
                  <c:x val="0.160439247005134"/>
                  <c:y val="-0.305450189658614"/>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2"/>
              <c:layout>
                <c:manualLayout>
                  <c:x val="-0.0188051497179228"/>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046289599305656"/>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0次</c:v>
                </c:pt>
                <c:pt idx="1">
                  <c:v>1次</c:v>
                </c:pt>
                <c:pt idx="2">
                  <c:v>2次</c:v>
                </c:pt>
                <c:pt idx="3">
                  <c:v>3次及以上</c:v>
                </c:pt>
              </c:strCache>
            </c:strRef>
          </c:cat>
          <c:val>
            <c:numRef>
              <c:f>Sheet0!$B$2:$B$5</c:f>
              <c:numCache>
                <c:formatCode>General</c:formatCode>
                <c:ptCount val="4"/>
                <c:pt idx="0">
                  <c:v>8333</c:v>
                </c:pt>
                <c:pt idx="1">
                  <c:v>1073</c:v>
                </c:pt>
                <c:pt idx="2">
                  <c:v>438</c:v>
                </c:pt>
                <c:pt idx="3">
                  <c:v>156</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462296045862"/>
          <c:y val="0.0161537153545315"/>
          <c:w val="0.682199029839777"/>
          <c:h val="0.976874681176671"/>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Sheet0!$A$2:$A$9</c:f>
              <c:strCache>
                <c:ptCount val="8"/>
                <c:pt idx="0">
                  <c:v>其他</c:v>
                </c:pt>
                <c:pt idx="1">
                  <c:v>被单位裁员或解聘</c:v>
                </c:pt>
                <c:pt idx="2">
                  <c:v>工作单位倒闭</c:v>
                </c:pt>
                <c:pt idx="3">
                  <c:v>找到更好的工作</c:v>
                </c:pt>
                <c:pt idx="4">
                  <c:v>工资福利较差</c:v>
                </c:pt>
                <c:pt idx="5">
                  <c:v>工作内容不喜欢</c:v>
                </c:pt>
                <c:pt idx="6">
                  <c:v>单位氛围不好</c:v>
                </c:pt>
                <c:pt idx="7">
                  <c:v>发展前景有限</c:v>
                </c:pt>
              </c:strCache>
            </c:strRef>
          </c:cat>
          <c:val>
            <c:numRef>
              <c:f>Sheet0!$B$2:$B$9</c:f>
              <c:numCache>
                <c:formatCode>General</c:formatCode>
                <c:ptCount val="8"/>
                <c:pt idx="0">
                  <c:v>60</c:v>
                </c:pt>
                <c:pt idx="1">
                  <c:v>60</c:v>
                </c:pt>
                <c:pt idx="2">
                  <c:v>60</c:v>
                </c:pt>
                <c:pt idx="3">
                  <c:v>60</c:v>
                </c:pt>
                <c:pt idx="4">
                  <c:v>60</c:v>
                </c:pt>
                <c:pt idx="5">
                  <c:v>60</c:v>
                </c:pt>
                <c:pt idx="6">
                  <c:v>60</c:v>
                </c:pt>
                <c:pt idx="7">
                  <c:v>60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1"/>
              <c:layout>
                <c:manualLayout>
                  <c:x val="0.0146993973247097"/>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0205791562545936"/>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0970160223430839"/>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0970160223430839"/>
                  <c:y val="0.00392003136025088"/>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095546082610613"/>
                  <c:y val="0.00196001568012544"/>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6"/>
              <c:layout>
                <c:manualLayout>
                  <c:x val="0.095546082610613"/>
                  <c:y val="0"/>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dLbl>
              <c:idx val="7"/>
              <c:layout>
                <c:manualLayout>
                  <c:x val="0.095546082610613"/>
                  <c:y val="0.00196001568012544"/>
                </c:manualLayout>
              </c:layout>
              <c:dLblPos val="inEnd"/>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in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Sheet0!$A$2:$A$9</c:f>
              <c:strCache>
                <c:ptCount val="8"/>
                <c:pt idx="0">
                  <c:v>其他</c:v>
                </c:pt>
                <c:pt idx="1">
                  <c:v>被单位裁员或解聘</c:v>
                </c:pt>
                <c:pt idx="2">
                  <c:v>工作单位倒闭</c:v>
                </c:pt>
                <c:pt idx="3">
                  <c:v>找到更好的工作</c:v>
                </c:pt>
                <c:pt idx="4">
                  <c:v>工资福利较差</c:v>
                </c:pt>
                <c:pt idx="5">
                  <c:v>工作内容不喜欢</c:v>
                </c:pt>
                <c:pt idx="6">
                  <c:v>单位氛围不好</c:v>
                </c:pt>
                <c:pt idx="7">
                  <c:v>发展前景有限</c:v>
                </c:pt>
              </c:strCache>
            </c:strRef>
          </c:cat>
          <c:val>
            <c:numRef>
              <c:f>Sheet0!$C$2:$C$9</c:f>
              <c:numCache>
                <c:formatCode>General</c:formatCode>
                <c:ptCount val="8"/>
                <c:pt idx="0">
                  <c:v>1.38</c:v>
                </c:pt>
                <c:pt idx="1">
                  <c:v>2.77</c:v>
                </c:pt>
                <c:pt idx="2">
                  <c:v>3.11</c:v>
                </c:pt>
                <c:pt idx="3">
                  <c:v>19.72</c:v>
                </c:pt>
                <c:pt idx="4">
                  <c:v>25.95</c:v>
                </c:pt>
                <c:pt idx="5">
                  <c:v>31.14</c:v>
                </c:pt>
                <c:pt idx="6">
                  <c:v>31.49</c:v>
                </c:pt>
                <c:pt idx="7">
                  <c:v>36.33</c:v>
                </c:pt>
              </c:numCache>
            </c:numRef>
          </c:val>
        </c:ser>
        <c:dLbls>
          <c:showLegendKey val="0"/>
          <c:showVal val="1"/>
          <c:showCatName val="0"/>
          <c:showSerName val="0"/>
          <c:showPercent val="1"/>
          <c:showBubbleSize val="1"/>
        </c:dLbls>
        <c:gapWidth val="150"/>
        <c:axId val="873399811"/>
        <c:axId val="46106292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majorUnit val="10"/>
      </c:valAx>
      <c:valAx>
        <c:axId val="461062921"/>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873399811"/>
        <c:crosses val="max"/>
        <c:crossBetween val="between"/>
      </c:valAx>
      <c:catAx>
        <c:axId val="873399811"/>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461062921"/>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82003710575139"/>
          <c:y val="0.063049853372434"/>
          <c:w val="0.45169116597688"/>
          <c:h val="0.928152492668622"/>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Lbls>
            <c:dLbl>
              <c:idx val="1"/>
              <c:layout>
                <c:manualLayout>
                  <c:x val="-0.148550447893175"/>
                  <c:y val="-0.0878002788830246"/>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0513771942343371"/>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1-3年（含1年）</c:v>
                </c:pt>
                <c:pt idx="1">
                  <c:v>1年以内</c:v>
                </c:pt>
                <c:pt idx="2">
                  <c:v>5年及以上</c:v>
                </c:pt>
                <c:pt idx="3">
                  <c:v>3-5年（含3年）</c:v>
                </c:pt>
              </c:strCache>
            </c:strRef>
          </c:cat>
          <c:val>
            <c:numRef>
              <c:f>Sheet0!$B$2:$B$5</c:f>
              <c:numCache>
                <c:formatCode>General</c:formatCode>
                <c:ptCount val="4"/>
                <c:pt idx="0">
                  <c:v>4221</c:v>
                </c:pt>
                <c:pt idx="1">
                  <c:v>2739</c:v>
                </c:pt>
                <c:pt idx="2">
                  <c:v>1834</c:v>
                </c:pt>
                <c:pt idx="3">
                  <c:v>1205</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87598354804204"/>
          <c:y val="0.0463669279410582"/>
          <c:w val="0.428537849426351"/>
          <c:h val="0.944139401172866"/>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Lbls>
            <c:dLbl>
              <c:idx val="0"/>
              <c:layout>
                <c:manualLayout>
                  <c:x val="0.0754093651249641"/>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2"/>
              <c:layout>
                <c:manualLayout>
                  <c:x val="-0.221200804366561"/>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manualLayout>
                      <c:w val="0.238149956908934"/>
                      <c:h val="0.194465220643231"/>
                    </c:manualLayout>
                  </c15:layout>
                </c:ext>
              </c:extLst>
            </c:dLbl>
            <c:dLbl>
              <c:idx val="3"/>
              <c:layout>
                <c:manualLayout>
                  <c:x val="0.0258546394714163"/>
                  <c:y val="-0.0617088607594937"/>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manualLayout>
                      <c:w val="0.261275495547256"/>
                      <c:h val="0.340599455040872"/>
                    </c:manualLayout>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仅五险</c:v>
                </c:pt>
                <c:pt idx="1">
                  <c:v>五险一金</c:v>
                </c:pt>
                <c:pt idx="2">
                  <c:v>无保险和公积金</c:v>
                </c:pt>
                <c:pt idx="3">
                  <c:v>五险一金外还提供其他保障和补贴</c:v>
                </c:pt>
              </c:strCache>
            </c:strRef>
          </c:cat>
          <c:val>
            <c:numRef>
              <c:f>Sheet0!$B$2:$B$5</c:f>
              <c:numCache>
                <c:formatCode>General</c:formatCode>
                <c:ptCount val="4"/>
                <c:pt idx="0">
                  <c:v>1368</c:v>
                </c:pt>
                <c:pt idx="1">
                  <c:v>2454</c:v>
                </c:pt>
                <c:pt idx="2">
                  <c:v>2617</c:v>
                </c:pt>
                <c:pt idx="3">
                  <c:v>3561</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Sheet0!$A$2:$A$10</c:f>
              <c:strCache>
                <c:ptCount val="9"/>
                <c:pt idx="0">
                  <c:v>校友资源</c:v>
                </c:pt>
                <c:pt idx="1">
                  <c:v>老师推荐</c:v>
                </c:pt>
                <c:pt idx="2">
                  <c:v>其他校园渠道</c:v>
                </c:pt>
                <c:pt idx="3">
                  <c:v>学校发布的招聘信息</c:v>
                </c:pt>
                <c:pt idx="4">
                  <c:v>学校组织的招聘会</c:v>
                </c:pt>
                <c:pt idx="5">
                  <c:v>政府渠道</c:v>
                </c:pt>
                <c:pt idx="6">
                  <c:v>用人单位自设渠道</c:v>
                </c:pt>
                <c:pt idx="7">
                  <c:v>亲友渠道</c:v>
                </c:pt>
                <c:pt idx="8">
                  <c:v>社会招聘</c:v>
                </c:pt>
              </c:strCache>
            </c:strRef>
          </c:cat>
          <c:val>
            <c:numRef>
              <c:f>Sheet0!$B$2:$B$10</c:f>
              <c:numCache>
                <c:formatCode>General</c:formatCode>
                <c:ptCount val="9"/>
                <c:pt idx="0">
                  <c:v>50</c:v>
                </c:pt>
                <c:pt idx="1">
                  <c:v>50</c:v>
                </c:pt>
                <c:pt idx="2">
                  <c:v>50</c:v>
                </c:pt>
                <c:pt idx="3">
                  <c:v>50</c:v>
                </c:pt>
                <c:pt idx="4">
                  <c:v>50</c:v>
                </c:pt>
                <c:pt idx="5">
                  <c:v>50</c:v>
                </c:pt>
                <c:pt idx="6">
                  <c:v>50</c:v>
                </c:pt>
                <c:pt idx="7">
                  <c:v>50</c:v>
                </c:pt>
                <c:pt idx="8">
                  <c:v>50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1"/>
              <c:layout>
                <c:manualLayout>
                  <c:x val="0.0146993973247097"/>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0426282522416581"/>
                  <c:y val="0.00196001568012544"/>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0558577098338968"/>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108775540202852"/>
                  <c:y val="0.00196001568012544"/>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0676172276936646"/>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6"/>
              <c:layout>
                <c:manualLayout>
                  <c:x val="0.123474937527561"/>
                  <c:y val="0.00196001568012544"/>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7"/>
              <c:layout>
                <c:manualLayout>
                  <c:x val="0.142584154049684"/>
                  <c:y val="0.00196001568012544"/>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8"/>
              <c:layout>
                <c:manualLayout>
                  <c:x val="0.219021020138174"/>
                  <c:y val="0.00392003136025088"/>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Sheet0!$A$2:$A$10</c:f>
              <c:strCache>
                <c:ptCount val="9"/>
                <c:pt idx="0">
                  <c:v>校友资源</c:v>
                </c:pt>
                <c:pt idx="1">
                  <c:v>老师推荐</c:v>
                </c:pt>
                <c:pt idx="2">
                  <c:v>其他校园渠道</c:v>
                </c:pt>
                <c:pt idx="3">
                  <c:v>学校发布的招聘信息</c:v>
                </c:pt>
                <c:pt idx="4">
                  <c:v>学校组织的招聘会</c:v>
                </c:pt>
                <c:pt idx="5">
                  <c:v>政府渠道</c:v>
                </c:pt>
                <c:pt idx="6">
                  <c:v>用人单位自设渠道</c:v>
                </c:pt>
                <c:pt idx="7">
                  <c:v>亲友渠道</c:v>
                </c:pt>
                <c:pt idx="8">
                  <c:v>社会招聘</c:v>
                </c:pt>
              </c:strCache>
            </c:strRef>
          </c:cat>
          <c:val>
            <c:numRef>
              <c:f>Sheet0!$C$2:$C$10</c:f>
              <c:numCache>
                <c:formatCode>0.00_);[Red]\(0.00\)</c:formatCode>
                <c:ptCount val="9"/>
                <c:pt idx="0">
                  <c:v>1.9</c:v>
                </c:pt>
                <c:pt idx="1">
                  <c:v>2.42</c:v>
                </c:pt>
                <c:pt idx="2">
                  <c:v>5.02</c:v>
                </c:pt>
                <c:pt idx="3">
                  <c:v>6.34</c:v>
                </c:pt>
                <c:pt idx="4">
                  <c:v>12.34</c:v>
                </c:pt>
                <c:pt idx="5">
                  <c:v>7.04</c:v>
                </c:pt>
                <c:pt idx="6">
                  <c:v>14.59</c:v>
                </c:pt>
                <c:pt idx="7">
                  <c:v>18.28</c:v>
                </c:pt>
                <c:pt idx="8">
                  <c:v>32.06</c:v>
                </c:pt>
              </c:numCache>
            </c:numRef>
          </c:val>
        </c:ser>
        <c:dLbls>
          <c:showLegendKey val="0"/>
          <c:showVal val="1"/>
          <c:showCatName val="0"/>
          <c:showSerName val="0"/>
          <c:showPercent val="1"/>
          <c:showBubbleSize val="1"/>
        </c:dLbls>
        <c:gapWidth val="150"/>
        <c:axId val="189943947"/>
        <c:axId val="130193372"/>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130193372"/>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89943947"/>
        <c:crosses val="max"/>
        <c:crossBetween val="between"/>
      </c:valAx>
      <c:catAx>
        <c:axId val="189943947"/>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30193372"/>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326026752903131"/>
          <c:y val="0.16612760952661"/>
          <c:w val="0.391750698221373"/>
          <c:h val="0.783616583357836"/>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1"/>
              <c:layout>
                <c:manualLayout>
                  <c:x val="-0.102895781272968"/>
                  <c:y val="-0.0514554542781535"/>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2"/>
              <c:layout>
                <c:manualLayout>
                  <c:x val="-0.0293987946494194"/>
                  <c:y val="0.0882093501911203"/>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0458621196530942"/>
                  <c:y val="0.0147015583651867"/>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661472879611936"/>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很满意</c:v>
                </c:pt>
                <c:pt idx="1">
                  <c:v>比较满意</c:v>
                </c:pt>
                <c:pt idx="2">
                  <c:v>基本满意</c:v>
                </c:pt>
                <c:pt idx="3">
                  <c:v>比较不满意</c:v>
                </c:pt>
                <c:pt idx="4">
                  <c:v>很不满意</c:v>
                </c:pt>
              </c:strCache>
            </c:strRef>
          </c:cat>
          <c:val>
            <c:numRef>
              <c:f>Sheet0!$B$2:$B$6</c:f>
              <c:numCache>
                <c:formatCode>General</c:formatCode>
                <c:ptCount val="5"/>
                <c:pt idx="0">
                  <c:v>4151</c:v>
                </c:pt>
                <c:pt idx="1">
                  <c:v>3430</c:v>
                </c:pt>
                <c:pt idx="2">
                  <c:v>2022</c:v>
                </c:pt>
                <c:pt idx="3">
                  <c:v>253</c:v>
                </c:pt>
                <c:pt idx="4">
                  <c:v>144</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371562709591"/>
          <c:y val="0.00598802395209581"/>
          <c:w val="0.66411804158283"/>
          <c:h val="0.988023952095808"/>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Sheet0!$A$2:$A$10</c:f>
              <c:strCache>
                <c:ptCount val="9"/>
                <c:pt idx="0">
                  <c:v>学生干部经历</c:v>
                </c:pt>
                <c:pt idx="1">
                  <c:v>人脉关系广</c:v>
                </c:pt>
                <c:pt idx="2">
                  <c:v>母校声誉高</c:v>
                </c:pt>
                <c:pt idx="3">
                  <c:v>资格证书、获奖经历多</c:v>
                </c:pt>
                <c:pt idx="4">
                  <c:v>形象气质好</c:v>
                </c:pt>
                <c:pt idx="5">
                  <c:v>掌握充分的就业信息</c:v>
                </c:pt>
                <c:pt idx="6">
                  <c:v>学历层次高</c:v>
                </c:pt>
                <c:pt idx="7">
                  <c:v>实践、实习经验丰富</c:v>
                </c:pt>
                <c:pt idx="8">
                  <c:v>专业相关能力强</c:v>
                </c:pt>
              </c:strCache>
            </c:strRef>
          </c:cat>
          <c:val>
            <c:numRef>
              <c:f>Sheet0!$B$2:$B$10</c:f>
              <c:numCache>
                <c:formatCode>General</c:formatCode>
                <c:ptCount val="9"/>
                <c:pt idx="0">
                  <c:v>70</c:v>
                </c:pt>
                <c:pt idx="1">
                  <c:v>70</c:v>
                </c:pt>
                <c:pt idx="2">
                  <c:v>70</c:v>
                </c:pt>
                <c:pt idx="3">
                  <c:v>70</c:v>
                </c:pt>
                <c:pt idx="4">
                  <c:v>70</c:v>
                </c:pt>
                <c:pt idx="5">
                  <c:v>70</c:v>
                </c:pt>
                <c:pt idx="6">
                  <c:v>70</c:v>
                </c:pt>
                <c:pt idx="7">
                  <c:v>70</c:v>
                </c:pt>
                <c:pt idx="8">
                  <c:v>70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chemeClr val="accent1"/>
            </a:solidFill>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Sheet0!$A$2:$A$10</c:f>
              <c:strCache>
                <c:ptCount val="9"/>
                <c:pt idx="0">
                  <c:v>学生干部经历</c:v>
                </c:pt>
                <c:pt idx="1">
                  <c:v>人脉关系广</c:v>
                </c:pt>
                <c:pt idx="2">
                  <c:v>母校声誉高</c:v>
                </c:pt>
                <c:pt idx="3">
                  <c:v>资格证书、获奖经历多</c:v>
                </c:pt>
                <c:pt idx="4">
                  <c:v>形象气质好</c:v>
                </c:pt>
                <c:pt idx="5">
                  <c:v>掌握充分的就业信息</c:v>
                </c:pt>
                <c:pt idx="6">
                  <c:v>学历层次高</c:v>
                </c:pt>
                <c:pt idx="7">
                  <c:v>实践、实习经验丰富</c:v>
                </c:pt>
                <c:pt idx="8">
                  <c:v>专业相关能力强</c:v>
                </c:pt>
              </c:strCache>
            </c:strRef>
          </c:cat>
          <c:val>
            <c:numRef>
              <c:f>Sheet0!$C$2:$C$10</c:f>
              <c:numCache>
                <c:formatCode>0.00_);[Red]\(0.00\)</c:formatCode>
                <c:ptCount val="9"/>
                <c:pt idx="0">
                  <c:v>6.57</c:v>
                </c:pt>
                <c:pt idx="1">
                  <c:v>11.65</c:v>
                </c:pt>
                <c:pt idx="2">
                  <c:v>13.44</c:v>
                </c:pt>
                <c:pt idx="3">
                  <c:v>14.3</c:v>
                </c:pt>
                <c:pt idx="4">
                  <c:v>16.03</c:v>
                </c:pt>
                <c:pt idx="5">
                  <c:v>20.59</c:v>
                </c:pt>
                <c:pt idx="6">
                  <c:v>38.7</c:v>
                </c:pt>
                <c:pt idx="7">
                  <c:v>43.25</c:v>
                </c:pt>
                <c:pt idx="8">
                  <c:v>54.38</c:v>
                </c:pt>
              </c:numCache>
            </c:numRef>
          </c:val>
        </c:ser>
        <c:dLbls>
          <c:showLegendKey val="0"/>
          <c:showVal val="1"/>
          <c:showCatName val="0"/>
          <c:showSerName val="0"/>
          <c:showPercent val="1"/>
          <c:showBubbleSize val="1"/>
        </c:dLbls>
        <c:gapWidth val="150"/>
        <c:overlap val="0"/>
        <c:axId val="871131965"/>
        <c:axId val="915732044"/>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915732044"/>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871131965"/>
        <c:crosses val="max"/>
        <c:crossBetween val="between"/>
      </c:valAx>
      <c:catAx>
        <c:axId val="871131965"/>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915732044"/>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0057803468208"/>
          <c:y val="0.0215336134453782"/>
          <c:w val="0.638150289017341"/>
          <c:h val="0.958508403361345"/>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Sheet0!$A$2:$A$10</c:f>
              <c:strCache>
                <c:ptCount val="9"/>
                <c:pt idx="0" c:formatCode="0.00_);[Red]\(0.00\)">
                  <c:v>专业对口程度</c:v>
                </c:pt>
                <c:pt idx="1" c:formatCode="0.00_);[Red]\(0.00\)">
                  <c:v>地方人才引进政策</c:v>
                </c:pt>
                <c:pt idx="2" c:formatCode="0.00_);[Red]\(0.00\)">
                  <c:v>可兼顾家庭及亲友关系</c:v>
                </c:pt>
                <c:pt idx="3" c:formatCode="0.00_);[Red]\(0.00\)">
                  <c:v>个人兴趣爱好</c:v>
                </c:pt>
                <c:pt idx="4" c:formatCode="0.00_);[Red]\(0.00\)">
                  <c:v>单位社会声誉</c:v>
                </c:pt>
                <c:pt idx="5" c:formatCode="0.00_);[Red]\(0.00\)">
                  <c:v>工作地点</c:v>
                </c:pt>
                <c:pt idx="6" c:formatCode="0.00_);[Red]\(0.00\)">
                  <c:v>工作稳定性</c:v>
                </c:pt>
                <c:pt idx="7" c:formatCode="0.00_);[Red]\(0.00\)">
                  <c:v>个人发展空间</c:v>
                </c:pt>
                <c:pt idx="8" c:formatCode="0.00_);[Red]\(0.00\)">
                  <c:v>薪酬福利水平</c:v>
                </c:pt>
              </c:strCache>
            </c:strRef>
          </c:cat>
          <c:val>
            <c:numRef>
              <c:f>Sheet0!$B$2:$B$10</c:f>
              <c:numCache>
                <c:formatCode>0.00_);[Red]\(0.00\)</c:formatCode>
                <c:ptCount val="9"/>
                <c:pt idx="0">
                  <c:v>5</c:v>
                </c:pt>
                <c:pt idx="1">
                  <c:v>5</c:v>
                </c:pt>
                <c:pt idx="2">
                  <c:v>5</c:v>
                </c:pt>
                <c:pt idx="3">
                  <c:v>5</c:v>
                </c:pt>
                <c:pt idx="4">
                  <c:v>5</c:v>
                </c:pt>
                <c:pt idx="5">
                  <c:v>5</c:v>
                </c:pt>
                <c:pt idx="6">
                  <c:v>5</c:v>
                </c:pt>
                <c:pt idx="7">
                  <c:v>5</c:v>
                </c:pt>
                <c:pt idx="8">
                  <c:v>5</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均值</c:v>
                </c:pt>
              </c:strCache>
            </c:strRef>
          </c:tx>
          <c:spPr>
            <a:solidFill>
              <a:schemeClr val="accent1"/>
            </a:solidFill>
          </c:spPr>
          <c:invertIfNegative val="0"/>
          <c:dLbls>
            <c:dLbl>
              <c:idx val="0"/>
              <c:layout>
                <c:manualLayout>
                  <c:x val="0.229190751445087"/>
                  <c:y val="0.00175070028011204"/>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238439306358382"/>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244653179190751"/>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241618497109827"/>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242919075144509"/>
                  <c:y val="0.00192577030812325"/>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241473988439306"/>
                  <c:y val="0.00175070028011204"/>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6"/>
              <c:layout>
                <c:manualLayout>
                  <c:x val="0.249277456647399"/>
                  <c:y val="-0.00192577030812325"/>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7"/>
              <c:layout>
                <c:manualLayout>
                  <c:x val="0.249277456647399"/>
                  <c:y val="-0.00192577030812325"/>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8"/>
              <c:layout>
                <c:manualLayout>
                  <c:x val="0.252456647398844"/>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Sheet0!$A$2:$A$10</c:f>
              <c:strCache>
                <c:ptCount val="9"/>
                <c:pt idx="0" c:formatCode="0.00_);[Red]\(0.00\)">
                  <c:v>专业对口程度</c:v>
                </c:pt>
                <c:pt idx="1" c:formatCode="0.00_);[Red]\(0.00\)">
                  <c:v>地方人才引进政策</c:v>
                </c:pt>
                <c:pt idx="2" c:formatCode="0.00_);[Red]\(0.00\)">
                  <c:v>可兼顾家庭及亲友关系</c:v>
                </c:pt>
                <c:pt idx="3" c:formatCode="0.00_);[Red]\(0.00\)">
                  <c:v>个人兴趣爱好</c:v>
                </c:pt>
                <c:pt idx="4" c:formatCode="0.00_);[Red]\(0.00\)">
                  <c:v>单位社会声誉</c:v>
                </c:pt>
                <c:pt idx="5" c:formatCode="0.00_);[Red]\(0.00\)">
                  <c:v>工作地点</c:v>
                </c:pt>
                <c:pt idx="6" c:formatCode="0.00_);[Red]\(0.00\)">
                  <c:v>工作稳定性</c:v>
                </c:pt>
                <c:pt idx="7" c:formatCode="0.00_);[Red]\(0.00\)">
                  <c:v>个人发展空间</c:v>
                </c:pt>
                <c:pt idx="8" c:formatCode="0.00_);[Red]\(0.00\)">
                  <c:v>薪酬福利水平</c:v>
                </c:pt>
              </c:strCache>
            </c:strRef>
          </c:cat>
          <c:val>
            <c:numRef>
              <c:f>Sheet0!$C$2:$C$10</c:f>
              <c:numCache>
                <c:formatCode>0.00_);[Red]\(0.00\)</c:formatCode>
                <c:ptCount val="9"/>
                <c:pt idx="0">
                  <c:v>3.7</c:v>
                </c:pt>
                <c:pt idx="1">
                  <c:v>3.83</c:v>
                </c:pt>
                <c:pt idx="2">
                  <c:v>3.91</c:v>
                </c:pt>
                <c:pt idx="3">
                  <c:v>3.92</c:v>
                </c:pt>
                <c:pt idx="4">
                  <c:v>3.93</c:v>
                </c:pt>
                <c:pt idx="5">
                  <c:v>3.97</c:v>
                </c:pt>
                <c:pt idx="6">
                  <c:v>4.05</c:v>
                </c:pt>
                <c:pt idx="7">
                  <c:v>4.05</c:v>
                </c:pt>
                <c:pt idx="8">
                  <c:v>4.07</c:v>
                </c:pt>
              </c:numCache>
            </c:numRef>
          </c:val>
        </c:ser>
        <c:dLbls>
          <c:showLegendKey val="0"/>
          <c:showVal val="1"/>
          <c:showCatName val="0"/>
          <c:showSerName val="0"/>
          <c:showPercent val="1"/>
          <c:showBubbleSize val="1"/>
        </c:dLbls>
        <c:gapWidth val="150"/>
        <c:axId val="609603017"/>
        <c:axId val="133550303"/>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0.00_);[Red]\(0.00\)"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133550303"/>
        <c:scaling>
          <c:orientation val="minMax"/>
        </c:scaling>
        <c:delete val="1"/>
        <c:axPos val="t"/>
        <c:numFmt formatCode="0.00_);[Red]\(0.00\)"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609603017"/>
        <c:crosses val="max"/>
        <c:crossBetween val="between"/>
      </c:valAx>
      <c:catAx>
        <c:axId val="609603017"/>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33550303"/>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5783593060864"/>
          <c:y val="0.00946745562130178"/>
          <c:w val="0.631872978535725"/>
          <c:h val="0.965680473372781"/>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Sheet0!$A$2:$A$7</c:f>
              <c:strCache>
                <c:ptCount val="6"/>
                <c:pt idx="0">
                  <c:v>其他</c:v>
                </c:pt>
                <c:pt idx="1">
                  <c:v>知识、技能达不到要求</c:v>
                </c:pt>
                <c:pt idx="2">
                  <c:v>求职信息渠道少</c:v>
                </c:pt>
                <c:pt idx="3">
                  <c:v>求职方法技巧缺乏</c:v>
                </c:pt>
                <c:pt idx="4">
                  <c:v>社会关系缺乏</c:v>
                </c:pt>
                <c:pt idx="5">
                  <c:v>实践经验缺乏</c:v>
                </c:pt>
              </c:strCache>
            </c:strRef>
          </c:cat>
          <c:val>
            <c:numRef>
              <c:f>Sheet0!$B$2:$B$7</c:f>
              <c:numCache>
                <c:formatCode>0.00_);[Red]\(0.00\)</c:formatCode>
                <c:ptCount val="6"/>
                <c:pt idx="0">
                  <c:v>80</c:v>
                </c:pt>
                <c:pt idx="1">
                  <c:v>80</c:v>
                </c:pt>
                <c:pt idx="2">
                  <c:v>80</c:v>
                </c:pt>
                <c:pt idx="3">
                  <c:v>80</c:v>
                </c:pt>
                <c:pt idx="4">
                  <c:v>80</c:v>
                </c:pt>
                <c:pt idx="5">
                  <c:v>80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1"/>
              <c:layout>
                <c:manualLayout>
                  <c:x val="0.121691599539701"/>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138665132336018"/>
                  <c:y val="0.00240332095258903"/>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154056386651323"/>
                  <c:y val="0.00218483722962639"/>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158659378596087"/>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245109321058688"/>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其他</c:v>
                </c:pt>
                <c:pt idx="1">
                  <c:v>知识、技能达不到要求</c:v>
                </c:pt>
                <c:pt idx="2">
                  <c:v>求职信息渠道少</c:v>
                </c:pt>
                <c:pt idx="3">
                  <c:v>求职方法技巧缺乏</c:v>
                </c:pt>
                <c:pt idx="4">
                  <c:v>社会关系缺乏</c:v>
                </c:pt>
                <c:pt idx="5">
                  <c:v>实践经验缺乏</c:v>
                </c:pt>
              </c:strCache>
            </c:strRef>
          </c:cat>
          <c:val>
            <c:numRef>
              <c:f>Sheet0!$C$2:$C$7</c:f>
              <c:numCache>
                <c:formatCode>0.00_);[Red]\(0.00\)</c:formatCode>
                <c:ptCount val="6"/>
                <c:pt idx="0">
                  <c:v>1.1</c:v>
                </c:pt>
                <c:pt idx="1">
                  <c:v>26.41</c:v>
                </c:pt>
                <c:pt idx="2">
                  <c:v>30.28</c:v>
                </c:pt>
                <c:pt idx="3">
                  <c:v>34.54</c:v>
                </c:pt>
                <c:pt idx="4">
                  <c:v>35.12</c:v>
                </c:pt>
                <c:pt idx="5">
                  <c:v>63.38</c:v>
                </c:pt>
              </c:numCache>
            </c:numRef>
          </c:val>
        </c:ser>
        <c:dLbls>
          <c:showLegendKey val="0"/>
          <c:showVal val="1"/>
          <c:showCatName val="0"/>
          <c:showSerName val="0"/>
          <c:showPercent val="1"/>
          <c:showBubbleSize val="1"/>
        </c:dLbls>
        <c:gapWidth val="150"/>
        <c:axId val="809072543"/>
        <c:axId val="553162442"/>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0.00_);[Red]\(0.00\)"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553162442"/>
        <c:scaling>
          <c:orientation val="minMax"/>
        </c:scaling>
        <c:delete val="1"/>
        <c:axPos val="t"/>
        <c:numFmt formatCode="0.00_);[Red]\(0.00\)"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809072543"/>
        <c:crosses val="max"/>
        <c:crossBetween val="between"/>
      </c:valAx>
      <c:catAx>
        <c:axId val="809072543"/>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553162442"/>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2021届</c:v>
                </c:pt>
                <c:pt idx="1">
                  <c:v>2022届</c:v>
                </c:pt>
                <c:pt idx="2">
                  <c:v>2023届</c:v>
                </c:pt>
              </c:strCache>
            </c:strRef>
          </c:cat>
          <c:val>
            <c:numRef>
              <c:f>Sheet1!$B$2:$B$4</c:f>
              <c:numCache>
                <c:formatCode>0.00_);[Red]\(0.00\)</c:formatCode>
                <c:ptCount val="3"/>
                <c:pt idx="0">
                  <c:v>76.6</c:v>
                </c:pt>
                <c:pt idx="1">
                  <c:v>82.4</c:v>
                </c:pt>
                <c:pt idx="2">
                  <c:v>84.31</c:v>
                </c:pt>
              </c:numCache>
            </c:numRef>
          </c:val>
        </c:ser>
        <c:dLbls>
          <c:showLegendKey val="0"/>
          <c:showVal val="1"/>
          <c:showCatName val="0"/>
          <c:showSerName val="0"/>
          <c:showPercent val="0"/>
          <c:showBubbleSize val="0"/>
        </c:dLbls>
        <c:gapWidth val="219"/>
        <c:overlap val="-27"/>
        <c:axId val="745780286"/>
        <c:axId val="780755673"/>
      </c:barChart>
      <c:lineChart>
        <c:grouping val="standard"/>
        <c:varyColors val="0"/>
        <c:ser>
          <c:idx val="1"/>
          <c:order val="1"/>
          <c:tx>
            <c:strRef>
              <c:f>Sheet1!$C$1</c:f>
              <c:strCache>
                <c:ptCount val="1"/>
                <c:pt idx="0">
                  <c:v>系列 2</c:v>
                </c:pt>
              </c:strCache>
            </c:strRef>
          </c:tx>
          <c:spPr>
            <a:ln w="28575" cap="rnd">
              <a:solidFill>
                <a:schemeClr val="accent2"/>
              </a:solidFill>
              <a:round/>
              <a:headEnd type="oval"/>
              <a:tailEnd type="oval"/>
            </a:ln>
            <a:effectLst/>
          </c:spPr>
          <c:marker>
            <c:symbol val="circle"/>
            <c:size val="5"/>
            <c:spPr>
              <a:solidFill>
                <a:schemeClr val="accent2"/>
              </a:solidFill>
              <a:ln w="9525">
                <a:solidFill>
                  <a:schemeClr val="accent2"/>
                </a:solidFill>
                <a:headEnd type="oval"/>
                <a:tailEnd type="oval"/>
              </a:ln>
              <a:effectLst/>
            </c:spPr>
          </c:marker>
          <c:dLbls>
            <c:delete val="1"/>
          </c:dLbls>
          <c:cat>
            <c:strRef>
              <c:f>Sheet1!$A$2:$A$4</c:f>
              <c:strCache>
                <c:ptCount val="3"/>
                <c:pt idx="0">
                  <c:v>2021届</c:v>
                </c:pt>
                <c:pt idx="1">
                  <c:v>2022届</c:v>
                </c:pt>
                <c:pt idx="2">
                  <c:v>2023届</c:v>
                </c:pt>
              </c:strCache>
            </c:strRef>
          </c:cat>
          <c:val>
            <c:numRef>
              <c:f>Sheet1!$C$2:$C$4</c:f>
              <c:numCache>
                <c:formatCode>0.00_);[Red]\(0.00\)</c:formatCode>
                <c:ptCount val="3"/>
                <c:pt idx="0">
                  <c:v>76.6</c:v>
                </c:pt>
                <c:pt idx="1">
                  <c:v>82.4</c:v>
                </c:pt>
                <c:pt idx="2">
                  <c:v>84.31</c:v>
                </c:pt>
              </c:numCache>
            </c:numRef>
          </c:val>
          <c:smooth val="0"/>
        </c:ser>
        <c:dLbls>
          <c:showLegendKey val="0"/>
          <c:showVal val="1"/>
          <c:showCatName val="0"/>
          <c:showSerName val="0"/>
          <c:showPercent val="0"/>
          <c:showBubbleSize val="0"/>
        </c:dLbls>
        <c:marker val="1"/>
        <c:smooth val="0"/>
        <c:axId val="745780286"/>
        <c:axId val="780755673"/>
      </c:lineChart>
      <c:catAx>
        <c:axId val="74578028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780755673"/>
        <c:crosses val="autoZero"/>
        <c:auto val="1"/>
        <c:lblAlgn val="ctr"/>
        <c:lblOffset val="100"/>
        <c:noMultiLvlLbl val="0"/>
      </c:catAx>
      <c:valAx>
        <c:axId val="780755673"/>
        <c:scaling>
          <c:orientation val="minMax"/>
          <c:max val="100"/>
          <c:min val="0"/>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74578028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14330618659809"/>
          <c:y val="0.0795904119152897"/>
          <c:w val="0.937133876268038"/>
          <c:h val="0.808331393995811"/>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2021届</c:v>
                </c:pt>
                <c:pt idx="1">
                  <c:v>2022届</c:v>
                </c:pt>
                <c:pt idx="2">
                  <c:v>2023届</c:v>
                </c:pt>
              </c:strCache>
            </c:strRef>
          </c:cat>
          <c:val>
            <c:numRef>
              <c:f>Sheet1!$B$2:$B$4</c:f>
              <c:numCache>
                <c:formatCode>0.00_);[Red]\(0.00\)</c:formatCode>
                <c:ptCount val="3"/>
                <c:pt idx="0">
                  <c:v>64.9</c:v>
                </c:pt>
                <c:pt idx="1">
                  <c:v>64.7</c:v>
                </c:pt>
                <c:pt idx="2">
                  <c:v>78.87</c:v>
                </c:pt>
              </c:numCache>
            </c:numRef>
          </c:val>
        </c:ser>
        <c:dLbls>
          <c:showLegendKey val="0"/>
          <c:showVal val="1"/>
          <c:showCatName val="0"/>
          <c:showSerName val="0"/>
          <c:showPercent val="0"/>
          <c:showBubbleSize val="0"/>
        </c:dLbls>
        <c:gapWidth val="219"/>
        <c:overlap val="-27"/>
        <c:axId val="745780286"/>
        <c:axId val="780755673"/>
      </c:barChart>
      <c:lineChart>
        <c:grouping val="standard"/>
        <c:varyColors val="0"/>
        <c:ser>
          <c:idx val="1"/>
          <c:order val="1"/>
          <c:tx>
            <c:strRef>
              <c:f>Sheet1!$C$1</c:f>
              <c:strCache>
                <c:ptCount val="1"/>
                <c:pt idx="0">
                  <c:v>系列 2</c:v>
                </c:pt>
              </c:strCache>
            </c:strRef>
          </c:tx>
          <c:spPr>
            <a:ln w="28575" cap="rnd">
              <a:solidFill>
                <a:schemeClr val="accent2"/>
              </a:solidFill>
              <a:round/>
              <a:headEnd type="oval"/>
              <a:tailEnd type="oval"/>
            </a:ln>
            <a:effectLst/>
          </c:spPr>
          <c:marker>
            <c:symbol val="circle"/>
            <c:size val="5"/>
            <c:spPr>
              <a:solidFill>
                <a:schemeClr val="accent2"/>
              </a:solidFill>
              <a:ln w="9525">
                <a:solidFill>
                  <a:schemeClr val="accent2"/>
                </a:solidFill>
                <a:headEnd type="oval"/>
                <a:tailEnd type="oval"/>
              </a:ln>
              <a:effectLst/>
            </c:spPr>
          </c:marker>
          <c:dLbls>
            <c:delete val="1"/>
          </c:dLbls>
          <c:cat>
            <c:strRef>
              <c:f>Sheet1!$A$2:$A$4</c:f>
              <c:strCache>
                <c:ptCount val="3"/>
                <c:pt idx="0">
                  <c:v>2021届</c:v>
                </c:pt>
                <c:pt idx="1">
                  <c:v>2022届</c:v>
                </c:pt>
                <c:pt idx="2">
                  <c:v>2023届</c:v>
                </c:pt>
              </c:strCache>
            </c:strRef>
          </c:cat>
          <c:val>
            <c:numRef>
              <c:f>Sheet1!$C$2:$C$4</c:f>
              <c:numCache>
                <c:formatCode>0.00_);[Red]\(0.00\)</c:formatCode>
                <c:ptCount val="3"/>
                <c:pt idx="0">
                  <c:v>64.9</c:v>
                </c:pt>
                <c:pt idx="1">
                  <c:v>64.7</c:v>
                </c:pt>
                <c:pt idx="2">
                  <c:v>78.87</c:v>
                </c:pt>
              </c:numCache>
            </c:numRef>
          </c:val>
          <c:smooth val="0"/>
        </c:ser>
        <c:dLbls>
          <c:showLegendKey val="0"/>
          <c:showVal val="1"/>
          <c:showCatName val="0"/>
          <c:showSerName val="0"/>
          <c:showPercent val="0"/>
          <c:showBubbleSize val="0"/>
        </c:dLbls>
        <c:marker val="1"/>
        <c:smooth val="0"/>
        <c:axId val="745780286"/>
        <c:axId val="780755673"/>
      </c:lineChart>
      <c:catAx>
        <c:axId val="74578028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780755673"/>
        <c:crosses val="autoZero"/>
        <c:auto val="1"/>
        <c:lblAlgn val="ctr"/>
        <c:lblOffset val="100"/>
        <c:noMultiLvlLbl val="0"/>
      </c:catAx>
      <c:valAx>
        <c:axId val="780755673"/>
        <c:scaling>
          <c:orientation val="minMax"/>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74578028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367017372155615"/>
          <c:y val="0.0443037974683544"/>
          <c:w val="0.992659652556888"/>
          <c:h val="0.801981287837094"/>
        </c:manualLayout>
      </c:layout>
      <c:barChart>
        <c:barDir val="col"/>
        <c:grouping val="clustered"/>
        <c:varyColors val="0"/>
        <c:ser>
          <c:idx val="0"/>
          <c:order val="0"/>
          <c:tx>
            <c:strRef>
              <c:f>Sheet1!$B$1</c:f>
              <c:strCache>
                <c:ptCount val="1"/>
                <c:pt idx="0">
                  <c:v>2021届</c:v>
                </c:pt>
              </c:strCache>
            </c:strRef>
          </c:tx>
          <c:spPr>
            <a:solidFill>
              <a:schemeClr val="accent1"/>
            </a:solidFill>
            <a:ln>
              <a:noFill/>
            </a:ln>
            <a:effectLst/>
          </c:spPr>
          <c:invertIfNegative val="0"/>
          <c:dLbls>
            <c:delete val="1"/>
          </c:dLbls>
          <c:cat>
            <c:strRef>
              <c:f>Sheet1!$A$2:$A$4</c:f>
              <c:strCache>
                <c:ptCount val="3"/>
                <c:pt idx="0">
                  <c:v>文化、体育和娱乐业</c:v>
                </c:pt>
                <c:pt idx="1">
                  <c:v>信息传输、软件和信息技术服务业</c:v>
                </c:pt>
                <c:pt idx="2">
                  <c:v>教育</c:v>
                </c:pt>
              </c:strCache>
            </c:strRef>
          </c:cat>
          <c:val>
            <c:numRef>
              <c:f>Sheet1!$B$2:$B$4</c:f>
              <c:numCache>
                <c:formatCode>0.00%</c:formatCode>
                <c:ptCount val="3"/>
                <c:pt idx="0">
                  <c:v>0.042</c:v>
                </c:pt>
                <c:pt idx="1">
                  <c:v>0.062</c:v>
                </c:pt>
                <c:pt idx="2">
                  <c:v>0.415</c:v>
                </c:pt>
              </c:numCache>
            </c:numRef>
          </c:val>
        </c:ser>
        <c:ser>
          <c:idx val="1"/>
          <c:order val="1"/>
          <c:tx>
            <c:strRef>
              <c:f>Sheet1!$C$1</c:f>
              <c:strCache>
                <c:ptCount val="1"/>
                <c:pt idx="0">
                  <c:v>2022届</c:v>
                </c:pt>
              </c:strCache>
            </c:strRef>
          </c:tx>
          <c:spPr>
            <a:solidFill>
              <a:schemeClr val="accent2"/>
            </a:solidFill>
            <a:ln w="28575" cap="rnd">
              <a:solidFill>
                <a:schemeClr val="accent2"/>
              </a:solidFill>
              <a:round/>
              <a:headEnd type="oval"/>
              <a:tailEnd type="oval"/>
            </a:ln>
            <a:effectLst/>
          </c:spPr>
          <c:invertIfNegative val="0"/>
          <c:dLbls>
            <c:delete val="1"/>
          </c:dLbls>
          <c:cat>
            <c:strRef>
              <c:f>Sheet1!$A$2:$A$4</c:f>
              <c:strCache>
                <c:ptCount val="3"/>
                <c:pt idx="0">
                  <c:v>文化、体育和娱乐业</c:v>
                </c:pt>
                <c:pt idx="1">
                  <c:v>信息传输、软件和信息技术服务业</c:v>
                </c:pt>
                <c:pt idx="2">
                  <c:v>教育</c:v>
                </c:pt>
              </c:strCache>
            </c:strRef>
          </c:cat>
          <c:val>
            <c:numRef>
              <c:f>Sheet1!$C$2:$C$4</c:f>
              <c:numCache>
                <c:formatCode>0.00%</c:formatCode>
                <c:ptCount val="3"/>
                <c:pt idx="0">
                  <c:v>0.051</c:v>
                </c:pt>
                <c:pt idx="1">
                  <c:v>0.056</c:v>
                </c:pt>
                <c:pt idx="2">
                  <c:v>0.398</c:v>
                </c:pt>
              </c:numCache>
            </c:numRef>
          </c:val>
        </c:ser>
        <c:ser>
          <c:idx val="2"/>
          <c:order val="2"/>
          <c:tx>
            <c:strRef>
              <c:f>Sheet1!$D$1</c:f>
              <c:strCache>
                <c:ptCount val="1"/>
                <c:pt idx="0">
                  <c:v>2023届</c:v>
                </c:pt>
              </c:strCache>
            </c:strRef>
          </c:tx>
          <c:spPr>
            <a:solidFill>
              <a:schemeClr val="accent3"/>
            </a:solidFill>
            <a:ln>
              <a:noFill/>
            </a:ln>
            <a:effectLst/>
          </c:spPr>
          <c:invertIfNegative val="0"/>
          <c:dLbls>
            <c:delete val="1"/>
          </c:dLbls>
          <c:cat>
            <c:strRef>
              <c:f>Sheet1!$A$2:$A$4</c:f>
              <c:strCache>
                <c:ptCount val="3"/>
                <c:pt idx="0">
                  <c:v>文化、体育和娱乐业</c:v>
                </c:pt>
                <c:pt idx="1">
                  <c:v>信息传输、软件和信息技术服务业</c:v>
                </c:pt>
                <c:pt idx="2">
                  <c:v>教育</c:v>
                </c:pt>
              </c:strCache>
            </c:strRef>
          </c:cat>
          <c:val>
            <c:numRef>
              <c:f>Sheet1!$D$2:$D$4</c:f>
              <c:numCache>
                <c:formatCode>0.00%</c:formatCode>
                <c:ptCount val="3"/>
                <c:pt idx="0">
                  <c:v>0.0782</c:v>
                </c:pt>
                <c:pt idx="1">
                  <c:v>0.0671</c:v>
                </c:pt>
                <c:pt idx="2">
                  <c:v>0.2024</c:v>
                </c:pt>
              </c:numCache>
            </c:numRef>
          </c:val>
        </c:ser>
        <c:dLbls>
          <c:showLegendKey val="0"/>
          <c:showVal val="0"/>
          <c:showCatName val="0"/>
          <c:showSerName val="0"/>
          <c:showPercent val="0"/>
          <c:showBubbleSize val="0"/>
        </c:dLbls>
        <c:gapWidth val="246"/>
        <c:overlap val="-28"/>
        <c:axId val="163195636"/>
        <c:axId val="722970533"/>
      </c:barChart>
      <c:catAx>
        <c:axId val="163195636"/>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722970533"/>
        <c:crosses val="autoZero"/>
        <c:auto val="1"/>
        <c:lblAlgn val="ctr"/>
        <c:lblOffset val="100"/>
        <c:noMultiLvlLbl val="0"/>
      </c:catAx>
      <c:valAx>
        <c:axId val="722970533"/>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631956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82105263157895"/>
          <c:y val="0.0919395465994962"/>
          <c:w val="0.958315789473684"/>
          <c:h val="0.78272040302267"/>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2021届</c:v>
                </c:pt>
                <c:pt idx="1">
                  <c:v>2022届</c:v>
                </c:pt>
                <c:pt idx="2">
                  <c:v>2023届</c:v>
                </c:pt>
              </c:strCache>
            </c:strRef>
          </c:cat>
          <c:val>
            <c:numRef>
              <c:f>Sheet1!$B$2:$B$4</c:f>
              <c:numCache>
                <c:formatCode>0.00_);[Red]\(0.00\)</c:formatCode>
                <c:ptCount val="3"/>
                <c:pt idx="0">
                  <c:v>62</c:v>
                </c:pt>
                <c:pt idx="1">
                  <c:v>51</c:v>
                </c:pt>
                <c:pt idx="2">
                  <c:v>62.51</c:v>
                </c:pt>
              </c:numCache>
            </c:numRef>
          </c:val>
        </c:ser>
        <c:dLbls>
          <c:showLegendKey val="0"/>
          <c:showVal val="1"/>
          <c:showCatName val="0"/>
          <c:showSerName val="0"/>
          <c:showPercent val="0"/>
          <c:showBubbleSize val="0"/>
        </c:dLbls>
        <c:gapWidth val="219"/>
        <c:overlap val="-27"/>
        <c:axId val="499155837"/>
        <c:axId val="332080755"/>
      </c:barChart>
      <c:lineChart>
        <c:grouping val="standard"/>
        <c:varyColors val="0"/>
        <c:ser>
          <c:idx val="1"/>
          <c:order val="1"/>
          <c:tx>
            <c:strRef>
              <c:f>Sheet1!$C$1</c:f>
              <c:strCache>
                <c:ptCount val="1"/>
                <c:pt idx="0">
                  <c:v>系列 2</c:v>
                </c:pt>
              </c:strCache>
            </c:strRef>
          </c:tx>
          <c:spPr>
            <a:ln w="28575" cap="rnd">
              <a:solidFill>
                <a:schemeClr val="accent2"/>
              </a:solidFill>
              <a:round/>
              <a:headEnd type="oval"/>
              <a:tailEnd type="oval"/>
            </a:ln>
            <a:effectLst/>
          </c:spPr>
          <c:marker>
            <c:symbol val="none"/>
          </c:marker>
          <c:dLbls>
            <c:delete val="1"/>
          </c:dLbls>
          <c:cat>
            <c:strRef>
              <c:f>Sheet1!$A$2:$A$4</c:f>
              <c:strCache>
                <c:ptCount val="3"/>
                <c:pt idx="0">
                  <c:v>2021届</c:v>
                </c:pt>
                <c:pt idx="1">
                  <c:v>2022届</c:v>
                </c:pt>
                <c:pt idx="2">
                  <c:v>2023届</c:v>
                </c:pt>
              </c:strCache>
            </c:strRef>
          </c:cat>
          <c:val>
            <c:numRef>
              <c:f>Sheet1!$C$2:$C$4</c:f>
              <c:numCache>
                <c:formatCode>0.00_);[Red]\(0.00\)</c:formatCode>
                <c:ptCount val="3"/>
                <c:pt idx="0">
                  <c:v>62</c:v>
                </c:pt>
                <c:pt idx="1">
                  <c:v>51</c:v>
                </c:pt>
                <c:pt idx="2">
                  <c:v>62.51</c:v>
                </c:pt>
              </c:numCache>
            </c:numRef>
          </c:val>
          <c:smooth val="0"/>
        </c:ser>
        <c:dLbls>
          <c:showLegendKey val="0"/>
          <c:showVal val="1"/>
          <c:showCatName val="0"/>
          <c:showSerName val="0"/>
          <c:showPercent val="0"/>
          <c:showBubbleSize val="0"/>
        </c:dLbls>
        <c:marker val="0"/>
        <c:smooth val="0"/>
        <c:axId val="499155837"/>
        <c:axId val="332080755"/>
      </c:lineChart>
      <c:catAx>
        <c:axId val="49915583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332080755"/>
        <c:crosses val="autoZero"/>
        <c:auto val="1"/>
        <c:lblAlgn val="ctr"/>
        <c:lblOffset val="100"/>
        <c:noMultiLvlLbl val="0"/>
      </c:catAx>
      <c:valAx>
        <c:axId val="332080755"/>
        <c:scaling>
          <c:orientation val="minMax"/>
        </c:scaling>
        <c:delete val="1"/>
        <c:axPos val="l"/>
        <c:numFmt formatCode="0.00_);[Red]\(0.00\)" sourceLinked="1"/>
        <c:majorTickMark val="none"/>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49915583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辅助</c:v>
                </c:pt>
              </c:strCache>
            </c:strRef>
          </c:tx>
          <c:spPr>
            <a:solidFill>
              <a:schemeClr val="accent1"/>
            </a:solidFill>
            <a:ln>
              <a:solidFill>
                <a:schemeClr val="accent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2021届</c:v>
                </c:pt>
                <c:pt idx="1">
                  <c:v>2022届</c:v>
                </c:pt>
                <c:pt idx="2">
                  <c:v>2023届</c:v>
                </c:pt>
              </c:strCache>
            </c:strRef>
          </c:cat>
          <c:val>
            <c:numRef>
              <c:f>Sheet1!$B$2:$B$4</c:f>
              <c:numCache>
                <c:formatCode>0.00_);[Red]\(0.00\)</c:formatCode>
                <c:ptCount val="3"/>
                <c:pt idx="0">
                  <c:v>69</c:v>
                </c:pt>
                <c:pt idx="1">
                  <c:v>66</c:v>
                </c:pt>
                <c:pt idx="2">
                  <c:v>72.38</c:v>
                </c:pt>
              </c:numCache>
            </c:numRef>
          </c:val>
        </c:ser>
        <c:dLbls>
          <c:showLegendKey val="0"/>
          <c:showVal val="1"/>
          <c:showCatName val="0"/>
          <c:showSerName val="0"/>
          <c:showPercent val="0"/>
          <c:showBubbleSize val="0"/>
        </c:dLbls>
        <c:gapWidth val="219"/>
        <c:overlap val="27"/>
        <c:axId val="695653640"/>
        <c:axId val="506405579"/>
      </c:barChart>
      <c:lineChart>
        <c:grouping val="standard"/>
        <c:varyColors val="0"/>
        <c:ser>
          <c:idx val="1"/>
          <c:order val="1"/>
          <c:tx>
            <c:strRef>
              <c:f>Sheet1!$C$1</c:f>
              <c:strCache>
                <c:ptCount val="1"/>
                <c:pt idx="0">
                  <c:v>系列 1</c:v>
                </c:pt>
              </c:strCache>
            </c:strRef>
          </c:tx>
          <c:spPr>
            <a:ln w="28575" cap="rnd">
              <a:solidFill>
                <a:schemeClr val="accent2"/>
              </a:solidFill>
              <a:round/>
              <a:headEnd type="oval"/>
              <a:tailEnd type="oval"/>
            </a:ln>
            <a:effectLst/>
          </c:spPr>
          <c:marker>
            <c:symbol val="none"/>
          </c:marker>
          <c:dLbls>
            <c:delete val="1"/>
          </c:dLbls>
          <c:cat>
            <c:strRef>
              <c:f>Sheet1!$A$2:$A$4</c:f>
              <c:strCache>
                <c:ptCount val="3"/>
                <c:pt idx="0">
                  <c:v>2021届</c:v>
                </c:pt>
                <c:pt idx="1">
                  <c:v>2022届</c:v>
                </c:pt>
                <c:pt idx="2">
                  <c:v>2023届</c:v>
                </c:pt>
              </c:strCache>
            </c:strRef>
          </c:cat>
          <c:val>
            <c:numRef>
              <c:f>Sheet1!$C$2:$C$4</c:f>
              <c:numCache>
                <c:formatCode>0.00_);[Red]\(0.00\)</c:formatCode>
                <c:ptCount val="3"/>
                <c:pt idx="0">
                  <c:v>69</c:v>
                </c:pt>
                <c:pt idx="1">
                  <c:v>66</c:v>
                </c:pt>
                <c:pt idx="2">
                  <c:v>72.38</c:v>
                </c:pt>
              </c:numCache>
            </c:numRef>
          </c:val>
          <c:smooth val="0"/>
        </c:ser>
        <c:dLbls>
          <c:showLegendKey val="0"/>
          <c:showVal val="1"/>
          <c:showCatName val="0"/>
          <c:showSerName val="0"/>
          <c:showPercent val="0"/>
          <c:showBubbleSize val="0"/>
        </c:dLbls>
        <c:marker val="0"/>
        <c:smooth val="0"/>
        <c:axId val="695653640"/>
        <c:axId val="506405579"/>
      </c:lineChart>
      <c:catAx>
        <c:axId val="695653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506405579"/>
        <c:crosses val="autoZero"/>
        <c:auto val="1"/>
        <c:lblAlgn val="ctr"/>
        <c:lblOffset val="100"/>
        <c:noMultiLvlLbl val="0"/>
      </c:catAx>
      <c:valAx>
        <c:axId val="506405579"/>
        <c:scaling>
          <c:orientation val="minMax"/>
          <c:min val="0"/>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695653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辅助</c:v>
                </c:pt>
              </c:strCache>
            </c:strRef>
          </c:tx>
          <c:spPr>
            <a:solidFill>
              <a:schemeClr val="accent1"/>
            </a:solidFill>
            <a:ln>
              <a:solidFill>
                <a:schemeClr val="accent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2021届</c:v>
                </c:pt>
                <c:pt idx="1">
                  <c:v>2022届</c:v>
                </c:pt>
                <c:pt idx="2">
                  <c:v>2023届</c:v>
                </c:pt>
              </c:strCache>
            </c:strRef>
          </c:cat>
          <c:val>
            <c:numRef>
              <c:f>Sheet1!$B$2:$B$4</c:f>
              <c:numCache>
                <c:formatCode>0.00_);[Red]\(0.00\)</c:formatCode>
                <c:ptCount val="3"/>
                <c:pt idx="0">
                  <c:v>76</c:v>
                </c:pt>
                <c:pt idx="1">
                  <c:v>72</c:v>
                </c:pt>
                <c:pt idx="2">
                  <c:v>89.22</c:v>
                </c:pt>
              </c:numCache>
            </c:numRef>
          </c:val>
        </c:ser>
        <c:dLbls>
          <c:showLegendKey val="0"/>
          <c:showVal val="1"/>
          <c:showCatName val="0"/>
          <c:showSerName val="0"/>
          <c:showPercent val="0"/>
          <c:showBubbleSize val="0"/>
        </c:dLbls>
        <c:gapWidth val="219"/>
        <c:overlap val="27"/>
        <c:axId val="695653640"/>
        <c:axId val="506405579"/>
      </c:barChart>
      <c:lineChart>
        <c:grouping val="standard"/>
        <c:varyColors val="0"/>
        <c:ser>
          <c:idx val="1"/>
          <c:order val="1"/>
          <c:tx>
            <c:strRef>
              <c:f>Sheet1!$C$1</c:f>
              <c:strCache>
                <c:ptCount val="1"/>
                <c:pt idx="0">
                  <c:v>系列 1</c:v>
                </c:pt>
              </c:strCache>
            </c:strRef>
          </c:tx>
          <c:spPr>
            <a:ln w="28575" cap="rnd">
              <a:solidFill>
                <a:schemeClr val="accent2"/>
              </a:solidFill>
              <a:round/>
              <a:headEnd type="oval"/>
              <a:tailEnd type="oval"/>
            </a:ln>
            <a:effectLst/>
          </c:spPr>
          <c:marker>
            <c:symbol val="none"/>
          </c:marker>
          <c:dLbls>
            <c:delete val="1"/>
          </c:dLbls>
          <c:cat>
            <c:strRef>
              <c:f>Sheet1!$A$2:$A$4</c:f>
              <c:strCache>
                <c:ptCount val="3"/>
                <c:pt idx="0">
                  <c:v>2021届</c:v>
                </c:pt>
                <c:pt idx="1">
                  <c:v>2022届</c:v>
                </c:pt>
                <c:pt idx="2">
                  <c:v>2023届</c:v>
                </c:pt>
              </c:strCache>
            </c:strRef>
          </c:cat>
          <c:val>
            <c:numRef>
              <c:f>Sheet1!$C$2:$C$4</c:f>
              <c:numCache>
                <c:formatCode>0.00_);[Red]\(0.00\)</c:formatCode>
                <c:ptCount val="3"/>
                <c:pt idx="0">
                  <c:v>76</c:v>
                </c:pt>
                <c:pt idx="1">
                  <c:v>72</c:v>
                </c:pt>
                <c:pt idx="2">
                  <c:v>89.22</c:v>
                </c:pt>
              </c:numCache>
            </c:numRef>
          </c:val>
          <c:smooth val="0"/>
        </c:ser>
        <c:dLbls>
          <c:showLegendKey val="0"/>
          <c:showVal val="1"/>
          <c:showCatName val="0"/>
          <c:showSerName val="0"/>
          <c:showPercent val="0"/>
          <c:showBubbleSize val="0"/>
        </c:dLbls>
        <c:marker val="0"/>
        <c:smooth val="0"/>
        <c:axId val="695653640"/>
        <c:axId val="506405579"/>
      </c:lineChart>
      <c:catAx>
        <c:axId val="695653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506405579"/>
        <c:crosses val="autoZero"/>
        <c:auto val="1"/>
        <c:lblAlgn val="ctr"/>
        <c:lblOffset val="100"/>
        <c:noMultiLvlLbl val="0"/>
      </c:catAx>
      <c:valAx>
        <c:axId val="506405579"/>
        <c:scaling>
          <c:orientation val="minMax"/>
        </c:scaling>
        <c:delete val="1"/>
        <c:axPos val="l"/>
        <c:numFmt formatCode="0.00_);[Red]\(0.00\)" sourceLinked="1"/>
        <c:majorTickMark val="none"/>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695653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辅助</c:v>
                </c:pt>
              </c:strCache>
            </c:strRef>
          </c:tx>
          <c:spPr>
            <a:solidFill>
              <a:schemeClr val="accent1"/>
            </a:solidFill>
            <a:ln>
              <a:solidFill>
                <a:schemeClr val="accent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2021届</c:v>
                </c:pt>
                <c:pt idx="1">
                  <c:v>2022届</c:v>
                </c:pt>
                <c:pt idx="2">
                  <c:v>2023届</c:v>
                </c:pt>
              </c:strCache>
            </c:strRef>
          </c:cat>
          <c:val>
            <c:numRef>
              <c:f>Sheet1!$B$2:$B$4</c:f>
              <c:numCache>
                <c:formatCode>0.00_);[Red]\(0.00\)</c:formatCode>
                <c:ptCount val="3"/>
                <c:pt idx="0">
                  <c:v>58</c:v>
                </c:pt>
                <c:pt idx="1">
                  <c:v>58</c:v>
                </c:pt>
                <c:pt idx="2">
                  <c:v>91.35</c:v>
                </c:pt>
              </c:numCache>
            </c:numRef>
          </c:val>
        </c:ser>
        <c:dLbls>
          <c:showLegendKey val="0"/>
          <c:showVal val="1"/>
          <c:showCatName val="0"/>
          <c:showSerName val="0"/>
          <c:showPercent val="0"/>
          <c:showBubbleSize val="0"/>
        </c:dLbls>
        <c:gapWidth val="219"/>
        <c:overlap val="27"/>
        <c:axId val="695653640"/>
        <c:axId val="506405579"/>
      </c:barChart>
      <c:lineChart>
        <c:grouping val="standard"/>
        <c:varyColors val="0"/>
        <c:ser>
          <c:idx val="1"/>
          <c:order val="1"/>
          <c:tx>
            <c:strRef>
              <c:f>Sheet1!$C$1</c:f>
              <c:strCache>
                <c:ptCount val="1"/>
                <c:pt idx="0">
                  <c:v>系列 1</c:v>
                </c:pt>
              </c:strCache>
            </c:strRef>
          </c:tx>
          <c:spPr>
            <a:ln w="28575" cap="rnd">
              <a:solidFill>
                <a:schemeClr val="accent2"/>
              </a:solidFill>
              <a:round/>
              <a:headEnd type="oval"/>
              <a:tailEnd type="oval"/>
            </a:ln>
            <a:effectLst/>
          </c:spPr>
          <c:marker>
            <c:symbol val="none"/>
          </c:marker>
          <c:dLbls>
            <c:delete val="1"/>
          </c:dLbls>
          <c:cat>
            <c:strRef>
              <c:f>Sheet1!$A$2:$A$4</c:f>
              <c:strCache>
                <c:ptCount val="3"/>
                <c:pt idx="0">
                  <c:v>2021届</c:v>
                </c:pt>
                <c:pt idx="1">
                  <c:v>2022届</c:v>
                </c:pt>
                <c:pt idx="2">
                  <c:v>2023届</c:v>
                </c:pt>
              </c:strCache>
            </c:strRef>
          </c:cat>
          <c:val>
            <c:numRef>
              <c:f>Sheet1!$C$2:$C$4</c:f>
              <c:numCache>
                <c:formatCode>0.00_);[Red]\(0.00\)</c:formatCode>
                <c:ptCount val="3"/>
                <c:pt idx="0">
                  <c:v>58</c:v>
                </c:pt>
                <c:pt idx="1">
                  <c:v>58</c:v>
                </c:pt>
                <c:pt idx="2">
                  <c:v>91.35</c:v>
                </c:pt>
              </c:numCache>
            </c:numRef>
          </c:val>
          <c:smooth val="0"/>
        </c:ser>
        <c:dLbls>
          <c:showLegendKey val="0"/>
          <c:showVal val="1"/>
          <c:showCatName val="0"/>
          <c:showSerName val="0"/>
          <c:showPercent val="0"/>
          <c:showBubbleSize val="0"/>
        </c:dLbls>
        <c:marker val="0"/>
        <c:smooth val="0"/>
        <c:axId val="695653640"/>
        <c:axId val="506405579"/>
      </c:lineChart>
      <c:catAx>
        <c:axId val="695653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506405579"/>
        <c:crosses val="autoZero"/>
        <c:auto val="1"/>
        <c:lblAlgn val="ctr"/>
        <c:lblOffset val="100"/>
        <c:noMultiLvlLbl val="0"/>
      </c:catAx>
      <c:valAx>
        <c:axId val="506405579"/>
        <c:scaling>
          <c:orientation val="minMax"/>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695653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5645161290323"/>
          <c:y val="0.00981932443047918"/>
          <c:w val="0.511966701352758"/>
          <c:h val="0.984289080911233"/>
        </c:manualLayout>
      </c:layout>
      <c:barChart>
        <c:barDir val="bar"/>
        <c:grouping val="clustered"/>
        <c:varyColors val="0"/>
        <c:ser>
          <c:idx val="1"/>
          <c:order val="1"/>
          <c:tx>
            <c:strRef>
              <c:f>Sheet0!$C$1</c:f>
              <c:strCache>
                <c:ptCount val="1"/>
                <c:pt idx="0">
                  <c:v>占比</c:v>
                </c:pt>
              </c:strCache>
            </c:strRef>
          </c:tx>
          <c:spPr>
            <a:solidFill>
              <a:srgbClr val="4F80BD"/>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Sheet0!$A$2:$A$7</c:f>
              <c:strCache>
                <c:ptCount val="6"/>
                <c:pt idx="0">
                  <c:v>受周围环境（如父母、同学）影响</c:v>
                </c:pt>
                <c:pt idx="1">
                  <c:v>其他</c:v>
                </c:pt>
                <c:pt idx="2">
                  <c:v>缓解就业压力</c:v>
                </c:pt>
                <c:pt idx="3">
                  <c:v>对专业感兴趣，深入学习</c:v>
                </c:pt>
                <c:pt idx="4">
                  <c:v>提高综合素质/能力</c:v>
                </c:pt>
                <c:pt idx="5">
                  <c:v>增加择业资本，站在更高求职点</c:v>
                </c:pt>
              </c:strCache>
            </c:strRef>
          </c:cat>
          <c:val>
            <c:numRef>
              <c:f>Sheet0!$C$2:$C$7</c:f>
              <c:numCache>
                <c:formatCode>General</c:formatCode>
                <c:ptCount val="6"/>
                <c:pt idx="0">
                  <c:v>3.25</c:v>
                </c:pt>
                <c:pt idx="1">
                  <c:v>5.05</c:v>
                </c:pt>
                <c:pt idx="2">
                  <c:v>16.97</c:v>
                </c:pt>
                <c:pt idx="3">
                  <c:v>22.02</c:v>
                </c:pt>
                <c:pt idx="4">
                  <c:v>24.55</c:v>
                </c:pt>
                <c:pt idx="5">
                  <c:v>28.16</c:v>
                </c:pt>
              </c:numCache>
            </c:numRef>
          </c:val>
        </c:ser>
        <c:dLbls>
          <c:showLegendKey val="0"/>
          <c:showVal val="1"/>
          <c:showCatName val="0"/>
          <c:showSerName val="0"/>
          <c:showPercent val="0"/>
          <c:showBubbleSize val="0"/>
        </c:dLbls>
        <c:gapWidth val="150"/>
        <c:overlap val="0"/>
        <c:axId val="0"/>
        <c:axId val="1"/>
      </c:barChar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Sheet0!$A$2:$A$7</c:f>
              <c:strCache>
                <c:ptCount val="6"/>
                <c:pt idx="0">
                  <c:v>受周围环境（如父母、同学）影响</c:v>
                </c:pt>
                <c:pt idx="1">
                  <c:v>其他</c:v>
                </c:pt>
                <c:pt idx="2">
                  <c:v>缓解就业压力</c:v>
                </c:pt>
                <c:pt idx="3">
                  <c:v>对专业感兴趣，深入学习</c:v>
                </c:pt>
                <c:pt idx="4">
                  <c:v>提高综合素质/能力</c:v>
                </c:pt>
                <c:pt idx="5">
                  <c:v>增加择业资本，站在更高求职点</c:v>
                </c:pt>
              </c:strCache>
            </c:strRef>
          </c:cat>
          <c:val>
            <c:numRef>
              <c:f>Sheet0!$B$2:$B$7</c:f>
              <c:numCache>
                <c:formatCode>General</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gapWidth val="150"/>
        <c:overlap val="0"/>
        <c:axId val="920941972"/>
        <c:axId val="110947799"/>
      </c:barChart>
      <c:catAx>
        <c:axId val="0"/>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10"/>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valAx>
        <c:axId val="110947799"/>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20941972"/>
        <c:crosses val="max"/>
        <c:crossBetween val="between"/>
      </c:valAx>
      <c:catAx>
        <c:axId val="920941972"/>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0947799"/>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辅助</c:v>
                </c:pt>
              </c:strCache>
            </c:strRef>
          </c:tx>
          <c:spPr>
            <a:solidFill>
              <a:schemeClr val="accent1"/>
            </a:solidFill>
            <a:ln>
              <a:solidFill>
                <a:schemeClr val="accent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2021届</c:v>
                </c:pt>
                <c:pt idx="1">
                  <c:v>2022届</c:v>
                </c:pt>
                <c:pt idx="2">
                  <c:v>2023届</c:v>
                </c:pt>
              </c:strCache>
            </c:strRef>
          </c:cat>
          <c:val>
            <c:numRef>
              <c:f>Sheet1!$B$2:$B$4</c:f>
              <c:numCache>
                <c:formatCode>0.00_);[Red]\(0.00\)</c:formatCode>
                <c:ptCount val="3"/>
                <c:pt idx="0">
                  <c:v>25</c:v>
                </c:pt>
                <c:pt idx="1">
                  <c:v>22</c:v>
                </c:pt>
                <c:pt idx="2">
                  <c:v>16.67</c:v>
                </c:pt>
              </c:numCache>
            </c:numRef>
          </c:val>
        </c:ser>
        <c:dLbls>
          <c:showLegendKey val="0"/>
          <c:showVal val="1"/>
          <c:showCatName val="0"/>
          <c:showSerName val="0"/>
          <c:showPercent val="0"/>
          <c:showBubbleSize val="0"/>
        </c:dLbls>
        <c:gapWidth val="219"/>
        <c:overlap val="27"/>
        <c:axId val="695653640"/>
        <c:axId val="506405579"/>
      </c:barChart>
      <c:lineChart>
        <c:grouping val="standard"/>
        <c:varyColors val="0"/>
        <c:ser>
          <c:idx val="1"/>
          <c:order val="1"/>
          <c:tx>
            <c:strRef>
              <c:f>Sheet1!$C$1</c:f>
              <c:strCache>
                <c:ptCount val="1"/>
                <c:pt idx="0">
                  <c:v>系列 1</c:v>
                </c:pt>
              </c:strCache>
            </c:strRef>
          </c:tx>
          <c:spPr>
            <a:ln w="28575" cap="rnd">
              <a:solidFill>
                <a:schemeClr val="accent2"/>
              </a:solidFill>
              <a:round/>
              <a:headEnd type="oval"/>
              <a:tailEnd type="oval"/>
            </a:ln>
            <a:effectLst/>
          </c:spPr>
          <c:marker>
            <c:symbol val="none"/>
          </c:marker>
          <c:dLbls>
            <c:delete val="1"/>
          </c:dLbls>
          <c:cat>
            <c:strRef>
              <c:f>Sheet1!$A$2:$A$4</c:f>
              <c:strCache>
                <c:ptCount val="3"/>
                <c:pt idx="0">
                  <c:v>2021届</c:v>
                </c:pt>
                <c:pt idx="1">
                  <c:v>2022届</c:v>
                </c:pt>
                <c:pt idx="2">
                  <c:v>2023届</c:v>
                </c:pt>
              </c:strCache>
            </c:strRef>
          </c:cat>
          <c:val>
            <c:numRef>
              <c:f>Sheet1!$C$2:$C$4</c:f>
              <c:numCache>
                <c:formatCode>0.00_);[Red]\(0.00\)</c:formatCode>
                <c:ptCount val="3"/>
                <c:pt idx="0">
                  <c:v>25</c:v>
                </c:pt>
                <c:pt idx="1">
                  <c:v>22</c:v>
                </c:pt>
                <c:pt idx="2">
                  <c:v>16.67</c:v>
                </c:pt>
              </c:numCache>
            </c:numRef>
          </c:val>
          <c:smooth val="0"/>
        </c:ser>
        <c:dLbls>
          <c:showLegendKey val="0"/>
          <c:showVal val="1"/>
          <c:showCatName val="0"/>
          <c:showSerName val="0"/>
          <c:showPercent val="0"/>
          <c:showBubbleSize val="0"/>
        </c:dLbls>
        <c:marker val="0"/>
        <c:smooth val="0"/>
        <c:axId val="695653640"/>
        <c:axId val="506405579"/>
      </c:lineChart>
      <c:catAx>
        <c:axId val="695653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506405579"/>
        <c:crosses val="autoZero"/>
        <c:auto val="1"/>
        <c:lblAlgn val="ctr"/>
        <c:lblOffset val="100"/>
        <c:noMultiLvlLbl val="0"/>
      </c:catAx>
      <c:valAx>
        <c:axId val="506405579"/>
        <c:scaling>
          <c:orientation val="minMax"/>
        </c:scaling>
        <c:delete val="1"/>
        <c:axPos val="l"/>
        <c:numFmt formatCode="0.00_);[Red]\(0.00\)" sourceLinked="1"/>
        <c:majorTickMark val="none"/>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695653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19204258896049"/>
          <c:y val="0.168467386954782"/>
          <c:w val="0.564163631269263"/>
          <c:h val="0.805722288915566"/>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2"/>
              <c:layout>
                <c:manualLayout>
                  <c:x val="-0.00656205420827389"/>
                  <c:y val="0.0347785763969395"/>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0165477888730385"/>
                  <c:y val="0.0187804312543473"/>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838801711840228"/>
                  <c:y val="0.026431718061674"/>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很满意</c:v>
                </c:pt>
                <c:pt idx="1">
                  <c:v>比较满意</c:v>
                </c:pt>
                <c:pt idx="2">
                  <c:v>基本满意</c:v>
                </c:pt>
                <c:pt idx="3">
                  <c:v>比较不满意</c:v>
                </c:pt>
                <c:pt idx="4">
                  <c:v>很不满意</c:v>
                </c:pt>
              </c:strCache>
            </c:strRef>
          </c:cat>
          <c:val>
            <c:numRef>
              <c:f>Sheet0!$B$2:$B$6</c:f>
              <c:numCache>
                <c:formatCode>General</c:formatCode>
                <c:ptCount val="5"/>
                <c:pt idx="0">
                  <c:v>6087</c:v>
                </c:pt>
                <c:pt idx="1">
                  <c:v>2244</c:v>
                </c:pt>
                <c:pt idx="2">
                  <c:v>1228</c:v>
                </c:pt>
                <c:pt idx="3">
                  <c:v>250</c:v>
                </c:pt>
                <c:pt idx="4">
                  <c:v>192</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23269738773114"/>
          <c:y val="0.148085466469219"/>
          <c:w val="0.562559436454359"/>
          <c:h val="0.810932938438756"/>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2"/>
              <c:layout>
                <c:manualLayout>
                  <c:x val="-0.0369826827120634"/>
                  <c:y val="0.0363436123348018"/>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021505376344086"/>
                  <c:y val="-0.00557170542635659"/>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910394265232975"/>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强烈推荐</c:v>
                </c:pt>
                <c:pt idx="1">
                  <c:v>比较推荐</c:v>
                </c:pt>
                <c:pt idx="2">
                  <c:v>推荐</c:v>
                </c:pt>
                <c:pt idx="3">
                  <c:v>比较不推荐</c:v>
                </c:pt>
                <c:pt idx="4">
                  <c:v>强烈不推荐</c:v>
                </c:pt>
              </c:strCache>
            </c:strRef>
          </c:cat>
          <c:val>
            <c:numRef>
              <c:f>Sheet0!$B$2:$B$6</c:f>
              <c:numCache>
                <c:formatCode>General</c:formatCode>
                <c:ptCount val="5"/>
                <c:pt idx="0">
                  <c:v>5933</c:v>
                </c:pt>
                <c:pt idx="1">
                  <c:v>2282</c:v>
                </c:pt>
                <c:pt idx="2">
                  <c:v>1308</c:v>
                </c:pt>
                <c:pt idx="3">
                  <c:v>272</c:v>
                </c:pt>
                <c:pt idx="4">
                  <c:v>205</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300697382059903"/>
          <c:y val="0.172978780553317"/>
          <c:w val="0.406925642028834"/>
          <c:h val="0.775049617949626"/>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3"/>
              <c:layout>
                <c:manualLayout>
                  <c:x val="-0.0276406712734452"/>
                  <c:y val="0.00251773861295491"/>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667042730221407"/>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很满意</c:v>
                </c:pt>
                <c:pt idx="1">
                  <c:v>比较满意</c:v>
                </c:pt>
                <c:pt idx="2">
                  <c:v>基本满意</c:v>
                </c:pt>
                <c:pt idx="3">
                  <c:v>比较不满意</c:v>
                </c:pt>
                <c:pt idx="4">
                  <c:v>很不满意</c:v>
                </c:pt>
              </c:strCache>
            </c:strRef>
          </c:cat>
          <c:val>
            <c:numRef>
              <c:f>Sheet0!$B$2:$B$6</c:f>
              <c:numCache>
                <c:formatCode>General</c:formatCode>
                <c:ptCount val="5"/>
                <c:pt idx="0">
                  <c:v>5792</c:v>
                </c:pt>
                <c:pt idx="1">
                  <c:v>2237</c:v>
                </c:pt>
                <c:pt idx="2">
                  <c:v>1433</c:v>
                </c:pt>
                <c:pt idx="3">
                  <c:v>327</c:v>
                </c:pt>
                <c:pt idx="4">
                  <c:v>212</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304757224566231"/>
          <c:y val="0.169032949370479"/>
          <c:w val="0.409788949944332"/>
          <c:h val="0.784779320426474"/>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3"/>
              <c:layout>
                <c:manualLayout>
                  <c:x val="-0.0545376467220155"/>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396507300314916"/>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强烈推荐</c:v>
                </c:pt>
                <c:pt idx="1">
                  <c:v>比较推荐</c:v>
                </c:pt>
                <c:pt idx="2">
                  <c:v>推荐</c:v>
                </c:pt>
                <c:pt idx="3">
                  <c:v>比较不推荐</c:v>
                </c:pt>
                <c:pt idx="4">
                  <c:v>强烈不推荐</c:v>
                </c:pt>
              </c:strCache>
            </c:strRef>
          </c:cat>
          <c:val>
            <c:numRef>
              <c:f>Sheet0!$B$2:$B$6</c:f>
              <c:numCache>
                <c:formatCode>General</c:formatCode>
                <c:ptCount val="5"/>
                <c:pt idx="0">
                  <c:v>5644</c:v>
                </c:pt>
                <c:pt idx="1">
                  <c:v>2173</c:v>
                </c:pt>
                <c:pt idx="2">
                  <c:v>1535</c:v>
                </c:pt>
                <c:pt idx="3">
                  <c:v>362</c:v>
                </c:pt>
                <c:pt idx="4">
                  <c:v>285</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Sheet0!$B$1</c:f>
              <c:strCache>
                <c:ptCount val="1"/>
                <c:pt idx="0">
                  <c:v>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Sheet0!$A$2:$A$5</c:f>
              <c:strCache>
                <c:ptCount val="4"/>
                <c:pt idx="0">
                  <c:v>课程总体满意度</c:v>
                </c:pt>
                <c:pt idx="1">
                  <c:v>专业课掌握度</c:v>
                </c:pt>
                <c:pt idx="2">
                  <c:v>公共课帮助度</c:v>
                </c:pt>
                <c:pt idx="3">
                  <c:v>专业课满足度</c:v>
                </c:pt>
              </c:strCache>
            </c:strRef>
          </c:cat>
          <c:val>
            <c:numRef>
              <c:f>Sheet0!$B$2:$B$5</c:f>
              <c:numCache>
                <c:formatCode>General</c:formatCode>
                <c:ptCount val="4"/>
                <c:pt idx="0">
                  <c:v>94.17</c:v>
                </c:pt>
                <c:pt idx="1">
                  <c:v>94.26</c:v>
                </c:pt>
                <c:pt idx="2">
                  <c:v>92.21</c:v>
                </c:pt>
                <c:pt idx="3">
                  <c:v>94.17</c:v>
                </c:pt>
              </c:numCache>
            </c:numRef>
          </c:val>
        </c:ser>
        <c:dLbls>
          <c:showLegendKey val="0"/>
          <c:showVal val="1"/>
          <c:showCatName val="0"/>
          <c:showSerName val="0"/>
          <c:showPercent val="0"/>
          <c:showBubbleSize val="0"/>
        </c:dLbls>
        <c:gapWidth val="150"/>
        <c:overlap val="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15366972477064"/>
          <c:y val="0.0668985817500669"/>
          <c:w val="0.936926605504587"/>
          <c:h val="0.811613593791812"/>
        </c:manualLayout>
      </c:layout>
      <c:barChart>
        <c:barDir val="col"/>
        <c:grouping val="clustered"/>
        <c:varyColors val="0"/>
        <c:ser>
          <c:idx val="0"/>
          <c:order val="0"/>
          <c:tx>
            <c:strRef>
              <c:f>Sheet0!$B$1</c:f>
              <c:strCache>
                <c:ptCount val="1"/>
                <c:pt idx="0">
                  <c:v>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Sheet0!$A$2:$A$5</c:f>
              <c:strCache>
                <c:ptCount val="4"/>
                <c:pt idx="0">
                  <c:v>任课教师总体</c:v>
                </c:pt>
                <c:pt idx="1">
                  <c:v>师德师风</c:v>
                </c:pt>
                <c:pt idx="2">
                  <c:v>教学态度</c:v>
                </c:pt>
                <c:pt idx="3">
                  <c:v>教学水平</c:v>
                </c:pt>
              </c:strCache>
            </c:strRef>
          </c:cat>
          <c:val>
            <c:numRef>
              <c:f>Sheet0!$B$2:$B$5</c:f>
              <c:numCache>
                <c:formatCode>General</c:formatCode>
                <c:ptCount val="4"/>
                <c:pt idx="0">
                  <c:v>96.03</c:v>
                </c:pt>
                <c:pt idx="1">
                  <c:v>96.12</c:v>
                </c:pt>
                <c:pt idx="2">
                  <c:v>96.03</c:v>
                </c:pt>
                <c:pt idx="3">
                  <c:v>96.03</c:v>
                </c:pt>
              </c:numCache>
            </c:numRef>
          </c:val>
        </c:ser>
        <c:dLbls>
          <c:showLegendKey val="0"/>
          <c:showVal val="1"/>
          <c:showCatName val="0"/>
          <c:showSerName val="0"/>
          <c:showPercent val="0"/>
          <c:showBubbleSize val="0"/>
        </c:dLbls>
        <c:gapWidth val="150"/>
        <c:overlap val="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max val="100"/>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18287037037037"/>
          <c:y val="0.0751295336787565"/>
          <c:w val="0.936342592592593"/>
          <c:h val="0.807253886010363"/>
        </c:manualLayout>
      </c:layout>
      <c:barChart>
        <c:barDir val="col"/>
        <c:grouping val="clustered"/>
        <c:varyColors val="0"/>
        <c:ser>
          <c:idx val="0"/>
          <c:order val="0"/>
          <c:tx>
            <c:strRef>
              <c:f>Sheet0!$B$1</c:f>
              <c:strCache>
                <c:ptCount val="1"/>
                <c:pt idx="0">
                  <c:v>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Sheet0!$A$2:$A$5</c:f>
              <c:strCache>
                <c:ptCount val="4"/>
                <c:pt idx="0">
                  <c:v>学风建设总体</c:v>
                </c:pt>
                <c:pt idx="1">
                  <c:v>课堂听讲</c:v>
                </c:pt>
                <c:pt idx="2">
                  <c:v>课后自习</c:v>
                </c:pt>
                <c:pt idx="3">
                  <c:v>学习交流</c:v>
                </c:pt>
              </c:strCache>
            </c:strRef>
          </c:cat>
          <c:val>
            <c:numRef>
              <c:f>Sheet0!$B$2:$B$5</c:f>
              <c:numCache>
                <c:formatCode>0.00_);[Red]\(0.00\)</c:formatCode>
                <c:ptCount val="4"/>
                <c:pt idx="0">
                  <c:v>95.8</c:v>
                </c:pt>
                <c:pt idx="1">
                  <c:v>95.8</c:v>
                </c:pt>
                <c:pt idx="2">
                  <c:v>95.16</c:v>
                </c:pt>
                <c:pt idx="3">
                  <c:v>94.87</c:v>
                </c:pt>
              </c:numCache>
            </c:numRef>
          </c:val>
        </c:ser>
        <c:dLbls>
          <c:showLegendKey val="0"/>
          <c:showVal val="1"/>
          <c:showCatName val="0"/>
          <c:showSerName val="0"/>
          <c:showPercent val="0"/>
          <c:showBubbleSize val="0"/>
        </c:dLbls>
        <c:gapWidth val="150"/>
        <c:overlap val="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max val="100"/>
          <c:min val="0"/>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Sheet0!$B$1</c:f>
              <c:strCache>
                <c:ptCount val="1"/>
                <c:pt idx="0">
                  <c:v>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Sheet0!$A$2:$A$7</c:f>
              <c:strCache>
                <c:ptCount val="6"/>
                <c:pt idx="0">
                  <c:v>课堂教学总体</c:v>
                </c:pt>
                <c:pt idx="1">
                  <c:v>师生互动</c:v>
                </c:pt>
                <c:pt idx="2">
                  <c:v>反馈指导</c:v>
                </c:pt>
                <c:pt idx="3">
                  <c:v>课堂纪律</c:v>
                </c:pt>
                <c:pt idx="4">
                  <c:v>教学效果</c:v>
                </c:pt>
                <c:pt idx="5">
                  <c:v>课程目标</c:v>
                </c:pt>
              </c:strCache>
            </c:strRef>
          </c:cat>
          <c:val>
            <c:numRef>
              <c:f>Sheet0!$B$2:$B$7</c:f>
              <c:numCache>
                <c:formatCode>General</c:formatCode>
                <c:ptCount val="6"/>
                <c:pt idx="0">
                  <c:v>95.87</c:v>
                </c:pt>
                <c:pt idx="1">
                  <c:v>95.42</c:v>
                </c:pt>
                <c:pt idx="2">
                  <c:v>95.38</c:v>
                </c:pt>
                <c:pt idx="3">
                  <c:v>95.77</c:v>
                </c:pt>
                <c:pt idx="4">
                  <c:v>95.45</c:v>
                </c:pt>
                <c:pt idx="5">
                  <c:v>95.93</c:v>
                </c:pt>
              </c:numCache>
            </c:numRef>
          </c:val>
        </c:ser>
        <c:dLbls>
          <c:showLegendKey val="0"/>
          <c:showVal val="1"/>
          <c:showCatName val="0"/>
          <c:showSerName val="0"/>
          <c:showPercent val="0"/>
          <c:showBubbleSize val="0"/>
        </c:dLbls>
        <c:gapWidth val="150"/>
        <c:overlap val="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max val="100"/>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Sheet0!$B$1</c:f>
              <c:strCache>
                <c:ptCount val="1"/>
                <c:pt idx="0">
                  <c:v>占比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Sheet0!$A$2:$A$5</c:f>
              <c:strCache>
                <c:ptCount val="4"/>
                <c:pt idx="0">
                  <c:v>实践教学总体</c:v>
                </c:pt>
                <c:pt idx="1">
                  <c:v>内容实用性</c:v>
                </c:pt>
                <c:pt idx="2">
                  <c:v>开展充分性</c:v>
                </c:pt>
                <c:pt idx="3">
                  <c:v>组织管理有效性</c:v>
                </c:pt>
              </c:strCache>
            </c:strRef>
          </c:cat>
          <c:val>
            <c:numRef>
              <c:f>Sheet0!$B$2:$B$5</c:f>
              <c:numCache>
                <c:formatCode>General</c:formatCode>
                <c:ptCount val="4"/>
                <c:pt idx="0">
                  <c:v>95.67</c:v>
                </c:pt>
                <c:pt idx="1">
                  <c:v>95.45</c:v>
                </c:pt>
                <c:pt idx="2">
                  <c:v>95.64</c:v>
                </c:pt>
                <c:pt idx="3">
                  <c:v>95.45</c:v>
                </c:pt>
              </c:numCache>
            </c:numRef>
          </c:val>
        </c:ser>
        <c:dLbls>
          <c:showLegendKey val="0"/>
          <c:showVal val="1"/>
          <c:showCatName val="0"/>
          <c:showSerName val="0"/>
          <c:showPercent val="0"/>
          <c:showBubbleSize val="0"/>
        </c:dLbls>
        <c:gapWidth val="150"/>
        <c:overlap val="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max val="100"/>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91535601944524"/>
          <c:y val="0.174217002237137"/>
          <c:w val="0.407492136116671"/>
          <c:h val="0.796979865771812"/>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0"/>
              <c:layout>
                <c:manualLayout>
                  <c:x val="0.0661472879611936"/>
                  <c:y val="-0.30873272566892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740849625165368"/>
                  <c:y val="0.044104675095560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Sheet0!$A$2:$A$6</c:f>
              <c:strCache>
                <c:ptCount val="5"/>
                <c:pt idx="0">
                  <c:v>很相关</c:v>
                </c:pt>
                <c:pt idx="1">
                  <c:v>比较相关</c:v>
                </c:pt>
                <c:pt idx="2">
                  <c:v>基本相关</c:v>
                </c:pt>
                <c:pt idx="3">
                  <c:v>比较不相关</c:v>
                </c:pt>
                <c:pt idx="4">
                  <c:v>很不相关</c:v>
                </c:pt>
              </c:strCache>
            </c:strRef>
          </c:cat>
          <c:val>
            <c:numRef>
              <c:f>Sheet0!$B$2:$B$6</c:f>
              <c:numCache>
                <c:formatCode>0.00%</c:formatCode>
                <c:ptCount val="5"/>
                <c:pt idx="0">
                  <c:v>0.7143</c:v>
                </c:pt>
                <c:pt idx="1">
                  <c:v>0.1905</c:v>
                </c:pt>
                <c:pt idx="2">
                  <c:v>0.0476</c:v>
                </c:pt>
                <c:pt idx="3">
                  <c:v>0.0476</c:v>
                </c:pt>
                <c:pt idx="4">
                  <c:v>0</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39953743856606"/>
          <c:y val="0.155400999782656"/>
          <c:w val="0.548568950563747"/>
          <c:h val="0.824820691154097"/>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3"/>
              <c:layout>
                <c:manualLayout>
                  <c:x val="-0.0349812084417462"/>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818155536282162"/>
                  <c:y val="0.0049989132797218"/>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完全达成</c:v>
                </c:pt>
                <c:pt idx="1">
                  <c:v>达成</c:v>
                </c:pt>
                <c:pt idx="2">
                  <c:v>基本达成</c:v>
                </c:pt>
                <c:pt idx="3">
                  <c:v>没达成</c:v>
                </c:pt>
                <c:pt idx="4">
                  <c:v>完全没达成</c:v>
                </c:pt>
              </c:strCache>
            </c:strRef>
          </c:cat>
          <c:val>
            <c:numRef>
              <c:f>Sheet0!$B$2:$B$6</c:f>
              <c:numCache>
                <c:formatCode>General</c:formatCode>
                <c:ptCount val="5"/>
                <c:pt idx="0">
                  <c:v>4651</c:v>
                </c:pt>
                <c:pt idx="1">
                  <c:v>3397</c:v>
                </c:pt>
                <c:pt idx="2">
                  <c:v>1734</c:v>
                </c:pt>
                <c:pt idx="3">
                  <c:v>135</c:v>
                </c:pt>
                <c:pt idx="4">
                  <c:v>83</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40178347498955"/>
          <c:y val="0.148290598290598"/>
          <c:w val="0.531347359621012"/>
          <c:h val="0.814846153846154"/>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1"/>
              <c:layout>
                <c:manualLayout>
                  <c:x val="-0.149100272653927"/>
                  <c:y val="-0.060633484162896"/>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0283318878288523"/>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265972824515756"/>
                  <c:y val="0"/>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很高</c:v>
                </c:pt>
                <c:pt idx="1">
                  <c:v>比较高</c:v>
                </c:pt>
                <c:pt idx="2">
                  <c:v>一般</c:v>
                </c:pt>
                <c:pt idx="3">
                  <c:v>比较低</c:v>
                </c:pt>
                <c:pt idx="4">
                  <c:v>很低</c:v>
                </c:pt>
              </c:strCache>
            </c:strRef>
          </c:cat>
          <c:val>
            <c:numRef>
              <c:f>Sheet0!$B$2:$B$6</c:f>
              <c:numCache>
                <c:formatCode>General</c:formatCode>
                <c:ptCount val="5"/>
                <c:pt idx="0">
                  <c:v>4061</c:v>
                </c:pt>
                <c:pt idx="1">
                  <c:v>2933</c:v>
                </c:pt>
                <c:pt idx="2">
                  <c:v>2413</c:v>
                </c:pt>
                <c:pt idx="3">
                  <c:v>397</c:v>
                </c:pt>
                <c:pt idx="4">
                  <c:v>196</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6506402512684"/>
          <c:y val="0.0513875823142051"/>
          <c:w val="0.594032374969799"/>
          <c:h val="0.927798682972719"/>
        </c:manualLayout>
      </c:layout>
      <c:barChart>
        <c:barDir val="bar"/>
        <c:grouping val="clustered"/>
        <c:varyColors val="0"/>
        <c:ser>
          <c:idx val="0"/>
          <c:order val="0"/>
          <c:tx>
            <c:strRef>
              <c:f>Sheet1!$B$1</c:f>
              <c:strCache>
                <c:ptCount val="1"/>
                <c:pt idx="0">
                  <c:v>参与度</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创业场地支持</c:v>
                </c:pt>
                <c:pt idx="1">
                  <c:v>创业指导服务（如信息服务等）</c:v>
                </c:pt>
                <c:pt idx="2">
                  <c:v>创业模拟与实训</c:v>
                </c:pt>
                <c:pt idx="3">
                  <c:v>创新创业大赛</c:v>
                </c:pt>
                <c:pt idx="4">
                  <c:v>就业手续办理</c:v>
                </c:pt>
                <c:pt idx="5">
                  <c:v>就业帮扶与推荐</c:v>
                </c:pt>
                <c:pt idx="6">
                  <c:v>创业课程和讲座</c:v>
                </c:pt>
                <c:pt idx="7">
                  <c:v>职业咨询与辅导</c:v>
                </c:pt>
                <c:pt idx="8">
                  <c:v>生涯规划与就业指导课</c:v>
                </c:pt>
                <c:pt idx="9">
                  <c:v>校园招聘会与宣讲会</c:v>
                </c:pt>
                <c:pt idx="10">
                  <c:v>查看学校发布招聘信息</c:v>
                </c:pt>
              </c:strCache>
            </c:strRef>
          </c:cat>
          <c:val>
            <c:numRef>
              <c:f>Sheet1!$B$2:$B$12</c:f>
              <c:numCache>
                <c:formatCode>General</c:formatCode>
                <c:ptCount val="11"/>
                <c:pt idx="0">
                  <c:v>48.24</c:v>
                </c:pt>
                <c:pt idx="1">
                  <c:v>54.29</c:v>
                </c:pt>
                <c:pt idx="2">
                  <c:v>56.19</c:v>
                </c:pt>
                <c:pt idx="3">
                  <c:v>58.46</c:v>
                </c:pt>
                <c:pt idx="4">
                  <c:v>61.92</c:v>
                </c:pt>
                <c:pt idx="5">
                  <c:v>65.22</c:v>
                </c:pt>
                <c:pt idx="6">
                  <c:v>67.85</c:v>
                </c:pt>
                <c:pt idx="7">
                  <c:v>68.33</c:v>
                </c:pt>
                <c:pt idx="8">
                  <c:v>79.13</c:v>
                </c:pt>
                <c:pt idx="9">
                  <c:v>81.31</c:v>
                </c:pt>
                <c:pt idx="10">
                  <c:v>83.04</c:v>
                </c:pt>
              </c:numCache>
            </c:numRef>
          </c:val>
        </c:ser>
        <c:ser>
          <c:idx val="1"/>
          <c:order val="1"/>
          <c:tx>
            <c:strRef>
              <c:f>Sheet1!$C$1</c:f>
              <c:strCache>
                <c:ptCount val="1"/>
                <c:pt idx="0">
                  <c:v>满意度</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创业场地支持</c:v>
                </c:pt>
                <c:pt idx="1">
                  <c:v>创业指导服务（如信息服务等）</c:v>
                </c:pt>
                <c:pt idx="2">
                  <c:v>创业模拟与实训</c:v>
                </c:pt>
                <c:pt idx="3">
                  <c:v>创新创业大赛</c:v>
                </c:pt>
                <c:pt idx="4">
                  <c:v>就业手续办理</c:v>
                </c:pt>
                <c:pt idx="5">
                  <c:v>就业帮扶与推荐</c:v>
                </c:pt>
                <c:pt idx="6">
                  <c:v>创业课程和讲座</c:v>
                </c:pt>
                <c:pt idx="7">
                  <c:v>职业咨询与辅导</c:v>
                </c:pt>
                <c:pt idx="8">
                  <c:v>生涯规划与就业指导课</c:v>
                </c:pt>
                <c:pt idx="9">
                  <c:v>校园招聘会与宣讲会</c:v>
                </c:pt>
                <c:pt idx="10">
                  <c:v>查看学校发布招聘信息</c:v>
                </c:pt>
              </c:strCache>
            </c:strRef>
          </c:cat>
          <c:val>
            <c:numRef>
              <c:f>Sheet1!$C$2:$C$12</c:f>
              <c:numCache>
                <c:formatCode>General</c:formatCode>
                <c:ptCount val="11"/>
                <c:pt idx="0">
                  <c:v>90.22</c:v>
                </c:pt>
                <c:pt idx="1">
                  <c:v>90.29</c:v>
                </c:pt>
                <c:pt idx="2">
                  <c:v>90.87</c:v>
                </c:pt>
                <c:pt idx="3">
                  <c:v>91.19</c:v>
                </c:pt>
                <c:pt idx="4">
                  <c:v>92.05</c:v>
                </c:pt>
                <c:pt idx="5">
                  <c:v>92.63</c:v>
                </c:pt>
                <c:pt idx="6">
                  <c:v>91.73</c:v>
                </c:pt>
                <c:pt idx="7">
                  <c:v>92.21</c:v>
                </c:pt>
                <c:pt idx="8">
                  <c:v>92.76</c:v>
                </c:pt>
                <c:pt idx="9">
                  <c:v>93.72</c:v>
                </c:pt>
                <c:pt idx="10">
                  <c:v>94.04</c:v>
                </c:pt>
              </c:numCache>
            </c:numRef>
          </c:val>
        </c:ser>
        <c:dLbls>
          <c:showLegendKey val="0"/>
          <c:showVal val="1"/>
          <c:showCatName val="0"/>
          <c:showSerName val="0"/>
          <c:showPercent val="0"/>
          <c:showBubbleSize val="0"/>
        </c:dLbls>
        <c:gapWidth val="140"/>
        <c:overlap val="0"/>
        <c:axId val="134122479"/>
        <c:axId val="612302592"/>
      </c:barChart>
      <c:catAx>
        <c:axId val="134122479"/>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612302592"/>
        <c:crosses val="autoZero"/>
        <c:auto val="1"/>
        <c:lblAlgn val="ctr"/>
        <c:lblOffset val="100"/>
        <c:noMultiLvlLbl val="0"/>
      </c:catAx>
      <c:valAx>
        <c:axId val="612302592"/>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34122479"/>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legendEntry>
      <c:legendEntry>
        <c:idx val="1"/>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686032138443"/>
          <c:y val="0.0532043530834341"/>
          <c:w val="0.735321384425216"/>
          <c:h val="0.893591293833132"/>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Sheet0!$A$3:$A$7</c:f>
              <c:strCache>
                <c:ptCount val="5"/>
                <c:pt idx="0">
                  <c:v>51-100人</c:v>
                </c:pt>
                <c:pt idx="1">
                  <c:v>21-50人</c:v>
                </c:pt>
                <c:pt idx="2">
                  <c:v>101人及以上</c:v>
                </c:pt>
                <c:pt idx="3">
                  <c:v>11-20人</c:v>
                </c:pt>
                <c:pt idx="4">
                  <c:v>10人及以下</c:v>
                </c:pt>
              </c:strCache>
            </c:strRef>
          </c:cat>
          <c:val>
            <c:numRef>
              <c:f>Sheet0!$B$3:$B$7</c:f>
              <c:numCache>
                <c:formatCode>General</c:formatCode>
                <c:ptCount val="5"/>
                <c:pt idx="0">
                  <c:v>70</c:v>
                </c:pt>
                <c:pt idx="1">
                  <c:v>70</c:v>
                </c:pt>
                <c:pt idx="2">
                  <c:v>70</c:v>
                </c:pt>
                <c:pt idx="3">
                  <c:v>70</c:v>
                </c:pt>
                <c:pt idx="4">
                  <c:v>70</c:v>
                </c:pt>
              </c:numCache>
            </c:numRef>
          </c:val>
        </c:ser>
        <c:dLbls>
          <c:showLegendKey val="0"/>
          <c:showVal val="1"/>
          <c:showCatName val="0"/>
          <c:showSerName val="0"/>
          <c:showPercent val="0"/>
          <c:showBubbleSize val="0"/>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0431530494821634"/>
                  <c:y val="0.0027493126718320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45857307249712"/>
                  <c:y val="0.0027493126718320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8947065592635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5607019562715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90563866513234"/>
                  <c:y val="0.00024993751562109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Sheet0!$A$3:$A$7</c:f>
              <c:strCache>
                <c:ptCount val="5"/>
                <c:pt idx="0">
                  <c:v>51-100人</c:v>
                </c:pt>
                <c:pt idx="1">
                  <c:v>21-50人</c:v>
                </c:pt>
                <c:pt idx="2">
                  <c:v>101人及以上</c:v>
                </c:pt>
                <c:pt idx="3">
                  <c:v>11-20人</c:v>
                </c:pt>
                <c:pt idx="4">
                  <c:v>10人及以下</c:v>
                </c:pt>
              </c:strCache>
            </c:strRef>
          </c:cat>
          <c:val>
            <c:numRef>
              <c:f>Sheet0!$C$3:$C$7</c:f>
              <c:numCache>
                <c:formatCode>0.00_);[Red]\(0.00\)</c:formatCode>
                <c:ptCount val="5"/>
                <c:pt idx="0">
                  <c:v>5.88</c:v>
                </c:pt>
                <c:pt idx="1">
                  <c:v>7.84</c:v>
                </c:pt>
                <c:pt idx="2">
                  <c:v>10.46</c:v>
                </c:pt>
                <c:pt idx="3">
                  <c:v>24.18</c:v>
                </c:pt>
                <c:pt idx="4">
                  <c:v>51.63</c:v>
                </c:pt>
              </c:numCache>
            </c:numRef>
          </c:val>
        </c:ser>
        <c:dLbls>
          <c:showLegendKey val="0"/>
          <c:showVal val="1"/>
          <c:showCatName val="0"/>
          <c:showSerName val="0"/>
          <c:showPercent val="0"/>
          <c:showBubbleSize val="0"/>
        </c:dLbls>
        <c:gapWidth val="150"/>
        <c:axId val="906562480"/>
        <c:axId val="547997145"/>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547997145"/>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906562480"/>
        <c:crosses val="max"/>
        <c:crossBetween val="between"/>
      </c:valAx>
      <c:catAx>
        <c:axId val="906562480"/>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547997145"/>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Sheet0!$A$3:$A$8</c:f>
              <c:strCache>
                <c:ptCount val="6"/>
                <c:pt idx="0">
                  <c:v>其他</c:v>
                </c:pt>
                <c:pt idx="1">
                  <c:v>储备干部</c:v>
                </c:pt>
                <c:pt idx="2">
                  <c:v>中层管理干部</c:v>
                </c:pt>
                <c:pt idx="3">
                  <c:v>技术骨干、研发人员</c:v>
                </c:pt>
                <c:pt idx="4">
                  <c:v>一线技术工人</c:v>
                </c:pt>
                <c:pt idx="5">
                  <c:v>基层工作人员</c:v>
                </c:pt>
              </c:strCache>
            </c:strRef>
          </c:cat>
          <c:val>
            <c:numRef>
              <c:f>Sheet0!$B$3:$B$8</c:f>
              <c:numCache>
                <c:formatCode>General</c:formatCode>
                <c:ptCount val="6"/>
                <c:pt idx="0">
                  <c:v>80</c:v>
                </c:pt>
                <c:pt idx="1">
                  <c:v>80</c:v>
                </c:pt>
                <c:pt idx="2">
                  <c:v>80</c:v>
                </c:pt>
                <c:pt idx="3">
                  <c:v>80</c:v>
                </c:pt>
                <c:pt idx="4">
                  <c:v>80</c:v>
                </c:pt>
                <c:pt idx="5">
                  <c:v>80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0463813900057438"/>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0911832280298679"/>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101091326823665"/>
                  <c:y val="0.00262869660460022"/>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106117174037909"/>
                  <c:y val="0.00240963855421687"/>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119327972429638"/>
                  <c:y val="0.00503833515881709"/>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241958644457208"/>
                  <c:y val="0.00262869660460022"/>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Sheet0!$A$3:$A$8</c:f>
              <c:strCache>
                <c:ptCount val="6"/>
                <c:pt idx="0">
                  <c:v>其他</c:v>
                </c:pt>
                <c:pt idx="1">
                  <c:v>储备干部</c:v>
                </c:pt>
                <c:pt idx="2">
                  <c:v>中层管理干部</c:v>
                </c:pt>
                <c:pt idx="3">
                  <c:v>技术骨干、研发人员</c:v>
                </c:pt>
                <c:pt idx="4">
                  <c:v>一线技术工人</c:v>
                </c:pt>
                <c:pt idx="5">
                  <c:v>基层工作人员</c:v>
                </c:pt>
              </c:strCache>
            </c:strRef>
          </c:cat>
          <c:val>
            <c:numRef>
              <c:f>Sheet0!$C$3:$C$8</c:f>
              <c:numCache>
                <c:formatCode>0.00_);[Red]\(0.00\)</c:formatCode>
                <c:ptCount val="6"/>
                <c:pt idx="0">
                  <c:v>8.5</c:v>
                </c:pt>
                <c:pt idx="1">
                  <c:v>16.34</c:v>
                </c:pt>
                <c:pt idx="2">
                  <c:v>16.99</c:v>
                </c:pt>
                <c:pt idx="3">
                  <c:v>18.95</c:v>
                </c:pt>
                <c:pt idx="4">
                  <c:v>22.88</c:v>
                </c:pt>
                <c:pt idx="5">
                  <c:v>61.44</c:v>
                </c:pt>
              </c:numCache>
            </c:numRef>
          </c:val>
        </c:ser>
        <c:dLbls>
          <c:showLegendKey val="0"/>
          <c:showVal val="1"/>
          <c:showCatName val="0"/>
          <c:showSerName val="0"/>
          <c:showPercent val="1"/>
          <c:showBubbleSize val="1"/>
        </c:dLbls>
        <c:gapWidth val="150"/>
        <c:axId val="923789005"/>
        <c:axId val="296735165"/>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296735165"/>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923789005"/>
        <c:crosses val="max"/>
        <c:crossBetween val="between"/>
      </c:valAx>
      <c:catAx>
        <c:axId val="923789005"/>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296735165"/>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619766643789"/>
          <c:y val="0.0702650910252316"/>
          <c:w val="0.690631434454358"/>
          <c:h val="0.859469817949537"/>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Sheet0!$A$3:$A$5</c:f>
              <c:strCache>
                <c:ptCount val="3"/>
                <c:pt idx="0">
                  <c:v>毕业前一年</c:v>
                </c:pt>
                <c:pt idx="1">
                  <c:v>毕业前半年</c:v>
                </c:pt>
                <c:pt idx="2">
                  <c:v>毕业前三个月</c:v>
                </c:pt>
              </c:strCache>
            </c:strRef>
          </c:cat>
          <c:val>
            <c:numRef>
              <c:f>Sheet0!$B$3:$B$5</c:f>
              <c:numCache>
                <c:formatCode>General</c:formatCode>
                <c:ptCount val="3"/>
                <c:pt idx="0">
                  <c:v>80</c:v>
                </c:pt>
                <c:pt idx="1">
                  <c:v>80</c:v>
                </c:pt>
                <c:pt idx="2">
                  <c:v>80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chemeClr val="accent1"/>
            </a:solidFill>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Sheet0!$A$3:$A$5</c:f>
              <c:strCache>
                <c:ptCount val="3"/>
                <c:pt idx="0">
                  <c:v>毕业前一年</c:v>
                </c:pt>
                <c:pt idx="1">
                  <c:v>毕业前半年</c:v>
                </c:pt>
                <c:pt idx="2">
                  <c:v>毕业前三个月</c:v>
                </c:pt>
              </c:strCache>
            </c:strRef>
          </c:cat>
          <c:val>
            <c:numRef>
              <c:f>Sheet0!$C$3:$C$5</c:f>
              <c:numCache>
                <c:formatCode>0.00_);[Red]\(0.00\)</c:formatCode>
                <c:ptCount val="3"/>
                <c:pt idx="0">
                  <c:v>9.8</c:v>
                </c:pt>
                <c:pt idx="1">
                  <c:v>32.03</c:v>
                </c:pt>
                <c:pt idx="2">
                  <c:v>58.17</c:v>
                </c:pt>
              </c:numCache>
            </c:numRef>
          </c:val>
        </c:ser>
        <c:dLbls>
          <c:showLegendKey val="0"/>
          <c:showVal val="1"/>
          <c:showCatName val="0"/>
          <c:showSerName val="0"/>
          <c:showPercent val="1"/>
          <c:showBubbleSize val="1"/>
        </c:dLbls>
        <c:gapWidth val="150"/>
        <c:overlap val="0"/>
        <c:axId val="287337149"/>
        <c:axId val="372240660"/>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max val="9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majorUnit val="10"/>
      </c:valAx>
      <c:valAx>
        <c:axId val="372240660"/>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287337149"/>
        <c:crosses val="max"/>
        <c:crossBetween val="between"/>
      </c:valAx>
      <c:catAx>
        <c:axId val="287337149"/>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372240660"/>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Sheet0!$A$3:$A$6</c:f>
              <c:strCache>
                <c:ptCount val="4"/>
                <c:pt idx="0">
                  <c:v>不确定</c:v>
                </c:pt>
                <c:pt idx="1">
                  <c:v>减少</c:v>
                </c:pt>
                <c:pt idx="2">
                  <c:v>增加</c:v>
                </c:pt>
                <c:pt idx="3">
                  <c:v>与目前持平</c:v>
                </c:pt>
              </c:strCache>
            </c:strRef>
          </c:cat>
          <c:val>
            <c:numRef>
              <c:f>Sheet0!$B$3:$B$6</c:f>
              <c:numCache>
                <c:formatCode>General</c:formatCode>
                <c:ptCount val="4"/>
                <c:pt idx="0">
                  <c:v>70</c:v>
                </c:pt>
                <c:pt idx="1">
                  <c:v>70</c:v>
                </c:pt>
                <c:pt idx="2">
                  <c:v>70</c:v>
                </c:pt>
                <c:pt idx="3">
                  <c:v>70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123768925474056"/>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120388064089372"/>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12200499779509"/>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295016904306923"/>
                  <c:y val="-0.00352837400764481"/>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Sheet0!$A$3:$A$6</c:f>
              <c:strCache>
                <c:ptCount val="4"/>
                <c:pt idx="0">
                  <c:v>不确定</c:v>
                </c:pt>
                <c:pt idx="1">
                  <c:v>减少</c:v>
                </c:pt>
                <c:pt idx="2">
                  <c:v>增加</c:v>
                </c:pt>
                <c:pt idx="3">
                  <c:v>与目前持平</c:v>
                </c:pt>
              </c:strCache>
            </c:strRef>
          </c:cat>
          <c:val>
            <c:numRef>
              <c:f>Sheet0!$C$3:$C$6</c:f>
              <c:numCache>
                <c:formatCode>0.00_);[Red]\(0.00\)</c:formatCode>
                <c:ptCount val="4"/>
                <c:pt idx="0">
                  <c:v>15.69</c:v>
                </c:pt>
                <c:pt idx="1">
                  <c:v>16.34</c:v>
                </c:pt>
                <c:pt idx="2">
                  <c:v>16.34</c:v>
                </c:pt>
                <c:pt idx="3">
                  <c:v>51.63</c:v>
                </c:pt>
              </c:numCache>
            </c:numRef>
          </c:val>
        </c:ser>
        <c:dLbls>
          <c:showLegendKey val="0"/>
          <c:showVal val="1"/>
          <c:showCatName val="0"/>
          <c:showSerName val="0"/>
          <c:showPercent val="1"/>
          <c:showBubbleSize val="1"/>
        </c:dLbls>
        <c:gapWidth val="150"/>
        <c:axId val="273074518"/>
        <c:axId val="328261940"/>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328261940"/>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273074518"/>
        <c:crosses val="max"/>
        <c:crossBetween val="between"/>
      </c:valAx>
      <c:catAx>
        <c:axId val="273074518"/>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328261940"/>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9141385231826"/>
          <c:y val="0.0104471374843293"/>
        </c:manualLayout>
      </c:layout>
      <c:overlay val="0"/>
      <c:tx>
        <c:rich>
          <a:bodyPr/>
          <a:lstStyle/>
          <a:p>
            <a:pPr>
              <a:defRPr/>
            </a:pPr>
          </a:p>
        </c:rich>
      </c:tx>
    </c:title>
    <c:autoTitleDeleted val="0"/>
    <c:plotArea>
      <c:layout>
        <c:manualLayout>
          <c:layoutTarget val="inner"/>
          <c:xMode val="edge"/>
          <c:yMode val="edge"/>
          <c:x val="0.224378935317687"/>
          <c:y val="0.17321353949018"/>
          <c:w val="0.532352604464797"/>
          <c:h val="0.777283744254074"/>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0"/>
              <c:layout>
                <c:manualLayout>
                  <c:x val="0.0227532913566113"/>
                  <c:y val="0.124111993313832"/>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1"/>
              <c:layout>
                <c:manualLayout>
                  <c:x val="-0.148540354894104"/>
                  <c:y val="-0.00313414124529879"/>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manualLayout>
                  <c:x val="0.110475100171723"/>
                  <c:y val="0.00257638497960649"/>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manualLayout>
                  <c:x val="-0.0914424728105323"/>
                  <c:y val="0.0207194365107597"/>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十分愿意</c:v>
                </c:pt>
                <c:pt idx="1">
                  <c:v>比较愿意</c:v>
                </c:pt>
                <c:pt idx="2">
                  <c:v>基本愿意</c:v>
                </c:pt>
                <c:pt idx="3">
                  <c:v>比较不愿意</c:v>
                </c:pt>
                <c:pt idx="4">
                  <c:v>很不愿意</c:v>
                </c:pt>
              </c:strCache>
            </c:strRef>
          </c:cat>
          <c:val>
            <c:numRef>
              <c:f>Sheet0!$B$2:$B$6</c:f>
              <c:numCache>
                <c:formatCode>General</c:formatCode>
                <c:ptCount val="5"/>
                <c:pt idx="0">
                  <c:v>40.52</c:v>
                </c:pt>
                <c:pt idx="1">
                  <c:v>24.18</c:v>
                </c:pt>
                <c:pt idx="2">
                  <c:v>30.07</c:v>
                </c:pt>
                <c:pt idx="3">
                  <c:v>1.96</c:v>
                </c:pt>
                <c:pt idx="4">
                  <c:v>3.27</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Sheet0!$A$3:$A$7</c:f>
              <c:strCache>
                <c:ptCount val="5"/>
                <c:pt idx="0">
                  <c:v>学校声誉好</c:v>
                </c:pt>
                <c:pt idx="1">
                  <c:v>能力与知识结构合格</c:v>
                </c:pt>
                <c:pt idx="2">
                  <c:v>获得与工作相关的资格证书</c:v>
                </c:pt>
                <c:pt idx="3">
                  <c:v>专业对口</c:v>
                </c:pt>
                <c:pt idx="4">
                  <c:v>有相关的实习经验</c:v>
                </c:pt>
              </c:strCache>
            </c:strRef>
          </c:cat>
          <c:val>
            <c:numRef>
              <c:f>Sheet0!$B$3:$B$7</c:f>
              <c:numCache>
                <c:formatCode>General</c:formatCode>
                <c:ptCount val="5"/>
                <c:pt idx="0">
                  <c:v>60</c:v>
                </c:pt>
                <c:pt idx="1">
                  <c:v>60</c:v>
                </c:pt>
                <c:pt idx="2">
                  <c:v>60</c:v>
                </c:pt>
                <c:pt idx="3">
                  <c:v>60</c:v>
                </c:pt>
                <c:pt idx="4">
                  <c:v>60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139203292665001"/>
                  <c:y val="0.00352837400764481"/>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16963104512715"/>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198441863883581"/>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210348375716596"/>
                  <c:y val="0.00352837400764481"/>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218874026164927"/>
                  <c:y val="0.00323434284034108"/>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Sheet0!$A$3:$A$7</c:f>
              <c:strCache>
                <c:ptCount val="5"/>
                <c:pt idx="0">
                  <c:v>学校声誉好</c:v>
                </c:pt>
                <c:pt idx="1">
                  <c:v>能力与知识结构合格</c:v>
                </c:pt>
                <c:pt idx="2">
                  <c:v>获得与工作相关的资格证书</c:v>
                </c:pt>
                <c:pt idx="3">
                  <c:v>专业对口</c:v>
                </c:pt>
                <c:pt idx="4">
                  <c:v>有相关的实习经验</c:v>
                </c:pt>
              </c:strCache>
            </c:strRef>
          </c:cat>
          <c:val>
            <c:numRef>
              <c:f>Sheet0!$C$3:$C$7</c:f>
              <c:numCache>
                <c:formatCode>General</c:formatCode>
                <c:ptCount val="5"/>
                <c:pt idx="0">
                  <c:v>23.53</c:v>
                </c:pt>
                <c:pt idx="1">
                  <c:v>31.37</c:v>
                </c:pt>
                <c:pt idx="2">
                  <c:v>37.91</c:v>
                </c:pt>
                <c:pt idx="3">
                  <c:v>41.18</c:v>
                </c:pt>
                <c:pt idx="4">
                  <c:v>43.14</c:v>
                </c:pt>
              </c:numCache>
            </c:numRef>
          </c:val>
        </c:ser>
        <c:dLbls>
          <c:showLegendKey val="0"/>
          <c:showVal val="1"/>
          <c:showCatName val="0"/>
          <c:showSerName val="0"/>
          <c:showPercent val="1"/>
          <c:showBubbleSize val="1"/>
        </c:dLbls>
        <c:gapWidth val="150"/>
        <c:axId val="933374345"/>
        <c:axId val="175517159"/>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175517159"/>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933374345"/>
        <c:crosses val="max"/>
        <c:crossBetween val="between"/>
      </c:valAx>
      <c:catAx>
        <c:axId val="933374345"/>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75517159"/>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Sheet0!$A$3:$A$7</c:f>
              <c:strCache>
                <c:ptCount val="5"/>
                <c:pt idx="0">
                  <c:v>员工推荐</c:v>
                </c:pt>
                <c:pt idx="1">
                  <c:v>其他</c:v>
                </c:pt>
                <c:pt idx="2">
                  <c:v>单位自设渠道（单位网站等）</c:v>
                </c:pt>
                <c:pt idx="3">
                  <c:v>第三方求职平台（各类招聘平台）</c:v>
                </c:pt>
                <c:pt idx="4">
                  <c:v>学校开设平台（招聘会、学校云就业平台等）</c:v>
                </c:pt>
              </c:strCache>
            </c:strRef>
          </c:cat>
          <c:val>
            <c:numRef>
              <c:f>Sheet0!$B$3:$B$7</c:f>
              <c:numCache>
                <c:formatCode>0.00_);[Red]\(0.00\)</c:formatCode>
                <c:ptCount val="5"/>
                <c:pt idx="0">
                  <c:v>60</c:v>
                </c:pt>
                <c:pt idx="1">
                  <c:v>60</c:v>
                </c:pt>
                <c:pt idx="2">
                  <c:v>60</c:v>
                </c:pt>
                <c:pt idx="3">
                  <c:v>60</c:v>
                </c:pt>
                <c:pt idx="4">
                  <c:v>60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0812876672056446"/>
                  <c:y val="-0.00352837400764481"/>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100102895781273"/>
                  <c:y val="0.00352837400764481"/>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161105394678818"/>
                  <c:y val="0.00352837400764481"/>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176392767896516"/>
                  <c:y val="0.00323434284034108"/>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188299279729531"/>
                  <c:y val="0.00323434284034108"/>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Sheet0!$A$3:$A$7</c:f>
              <c:strCache>
                <c:ptCount val="5"/>
                <c:pt idx="0">
                  <c:v>员工推荐</c:v>
                </c:pt>
                <c:pt idx="1">
                  <c:v>其他</c:v>
                </c:pt>
                <c:pt idx="2">
                  <c:v>单位自设渠道（单位网站等）</c:v>
                </c:pt>
                <c:pt idx="3">
                  <c:v>第三方求职平台（各类招聘平台）</c:v>
                </c:pt>
                <c:pt idx="4">
                  <c:v>学校开设平台（招聘会、学校云就业平台等）</c:v>
                </c:pt>
              </c:strCache>
            </c:strRef>
          </c:cat>
          <c:val>
            <c:numRef>
              <c:f>Sheet0!$C$3:$C$7</c:f>
              <c:numCache>
                <c:formatCode>0.00_);[Red]\(0.00\)</c:formatCode>
                <c:ptCount val="5"/>
                <c:pt idx="0">
                  <c:v>14.38</c:v>
                </c:pt>
                <c:pt idx="1">
                  <c:v>17.65</c:v>
                </c:pt>
                <c:pt idx="2">
                  <c:v>36.6</c:v>
                </c:pt>
                <c:pt idx="3">
                  <c:v>41.18</c:v>
                </c:pt>
                <c:pt idx="4">
                  <c:v>44.44</c:v>
                </c:pt>
              </c:numCache>
            </c:numRef>
          </c:val>
        </c:ser>
        <c:dLbls>
          <c:showLegendKey val="0"/>
          <c:showVal val="1"/>
          <c:showCatName val="0"/>
          <c:showSerName val="0"/>
          <c:showPercent val="1"/>
          <c:showBubbleSize val="1"/>
        </c:dLbls>
        <c:gapWidth val="150"/>
        <c:axId val="178988609"/>
        <c:axId val="922758324"/>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0.00_);[Red]\(0.00\)"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922758324"/>
        <c:scaling>
          <c:orientation val="minMax"/>
        </c:scaling>
        <c:delete val="1"/>
        <c:axPos val="t"/>
        <c:numFmt formatCode="0.00_);[Red]\(0.00\)"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78988609"/>
        <c:crosses val="max"/>
        <c:crossBetween val="between"/>
      </c:valAx>
      <c:catAx>
        <c:axId val="178988609"/>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922758324"/>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73555784212847"/>
          <c:y val="0.161046614461442"/>
          <c:w val="0.427752462149052"/>
          <c:h val="0.804089527493783"/>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0"/>
              <c:layout>
                <c:manualLayout>
                  <c:x val="0.078200793767455"/>
                  <c:y val="-0.294520547945206"/>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1"/>
              <c:layout>
                <c:manualLayout>
                  <c:x val="-0.0298397765691606"/>
                  <c:y val="0.0574288724973654"/>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delete val="1"/>
            </c:dLbl>
            <c:dLbl>
              <c:idx val="4"/>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很满意</c:v>
                </c:pt>
                <c:pt idx="1">
                  <c:v>比较满意</c:v>
                </c:pt>
                <c:pt idx="2">
                  <c:v>基本满意</c:v>
                </c:pt>
                <c:pt idx="3">
                  <c:v>比较不满意</c:v>
                </c:pt>
                <c:pt idx="4">
                  <c:v>很不满意</c:v>
                </c:pt>
              </c:strCache>
            </c:strRef>
          </c:cat>
          <c:val>
            <c:numRef>
              <c:f>Sheet0!$B$2:$B$6</c:f>
              <c:numCache>
                <c:formatCode>0.00%</c:formatCode>
                <c:ptCount val="5"/>
                <c:pt idx="0">
                  <c:v>0.7143</c:v>
                </c:pt>
                <c:pt idx="1">
                  <c:v>0.2381</c:v>
                </c:pt>
                <c:pt idx="2">
                  <c:v>0.0476</c:v>
                </c:pt>
                <c:pt idx="3" c:formatCode="General">
                  <c:v>0</c:v>
                </c:pt>
                <c:pt idx="4" c:formatCode="General">
                  <c:v>0</c:v>
                </c:pt>
              </c:numCache>
            </c:numRef>
          </c:val>
        </c:ser>
        <c:dLbls>
          <c:showLegendKey val="1"/>
          <c:showVal val="0"/>
          <c:showCatName val="1"/>
          <c:showSerName val="0"/>
          <c:showPercent val="1"/>
          <c:showBubbleSize val="1"/>
          <c:showLeaderLines val="1"/>
        </c:dLbls>
        <c:firstSliceAng val="0"/>
      </c:pieChart>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Sheet0!$B$1</c:f>
              <c:strCache>
                <c:ptCount val="1"/>
                <c:pt idx="0">
                  <c:v>辅助</c:v>
                </c:pt>
              </c:strCache>
            </c:strRef>
          </c:tx>
          <c:spPr>
            <a:noFill/>
            <a:ln>
              <a:solidFill>
                <a:schemeClr val="accent1"/>
              </a:solidFill>
            </a:ln>
            <a:effectLst/>
          </c:spPr>
          <c:invertIfNegative val="0"/>
          <c:dLbls>
            <c:delete val="1"/>
          </c:dLbls>
          <c:cat>
            <c:strRef>
              <c:f>Sheet0!$A$2:$A$6</c:f>
              <c:strCache>
                <c:ptCount val="5"/>
                <c:pt idx="0">
                  <c:v>用人单位总体满意度</c:v>
                </c:pt>
                <c:pt idx="1">
                  <c:v>用人单位综合能力满意度</c:v>
                </c:pt>
                <c:pt idx="2">
                  <c:v>用人单位政治素养满意度</c:v>
                </c:pt>
                <c:pt idx="3">
                  <c:v>用人单位职业能力满意度</c:v>
                </c:pt>
                <c:pt idx="4">
                  <c:v>用人单位专业知识满意度</c:v>
                </c:pt>
              </c:strCache>
            </c:strRef>
          </c:cat>
          <c:val>
            <c:numRef>
              <c:f>Sheet0!$B$2:$B$6</c:f>
              <c:numCache>
                <c:formatCode>General</c:formatCode>
                <c:ptCount val="5"/>
                <c:pt idx="0">
                  <c:v>100</c:v>
                </c:pt>
                <c:pt idx="1">
                  <c:v>100</c:v>
                </c:pt>
                <c:pt idx="2">
                  <c:v>100</c:v>
                </c:pt>
                <c:pt idx="3">
                  <c:v>100</c:v>
                </c:pt>
                <c:pt idx="4">
                  <c:v>100</c:v>
                </c:pt>
              </c:numCache>
            </c:numRef>
          </c:val>
        </c:ser>
        <c:dLbls>
          <c:showLegendKey val="0"/>
          <c:showVal val="1"/>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Sheet0!$A$2:$A$6</c:f>
              <c:strCache>
                <c:ptCount val="5"/>
                <c:pt idx="0">
                  <c:v>用人单位总体满意度</c:v>
                </c:pt>
                <c:pt idx="1">
                  <c:v>用人单位综合能力满意度</c:v>
                </c:pt>
                <c:pt idx="2">
                  <c:v>用人单位政治素养满意度</c:v>
                </c:pt>
                <c:pt idx="3">
                  <c:v>用人单位职业能力满意度</c:v>
                </c:pt>
                <c:pt idx="4">
                  <c:v>用人单位专业知识满意度</c:v>
                </c:pt>
              </c:strCache>
            </c:strRef>
          </c:cat>
          <c:val>
            <c:numRef>
              <c:f>Sheet0!$C$2:$C$6</c:f>
              <c:numCache>
                <c:formatCode>General</c:formatCode>
                <c:ptCount val="5"/>
                <c:pt idx="0">
                  <c:v>94.77</c:v>
                </c:pt>
                <c:pt idx="1">
                  <c:v>94.77</c:v>
                </c:pt>
                <c:pt idx="2">
                  <c:v>95.42</c:v>
                </c:pt>
                <c:pt idx="3">
                  <c:v>96.08</c:v>
                </c:pt>
                <c:pt idx="4">
                  <c:v>96.08</c:v>
                </c:pt>
              </c:numCache>
            </c:numRef>
          </c:val>
        </c:ser>
        <c:dLbls>
          <c:showLegendKey val="0"/>
          <c:showVal val="1"/>
          <c:showCatName val="0"/>
          <c:showSerName val="0"/>
          <c:showPercent val="0"/>
          <c:showBubbleSize val="0"/>
        </c:dLbls>
        <c:gapWidth val="150"/>
        <c:overlap val="0"/>
        <c:axId val="875270881"/>
        <c:axId val="762103586"/>
      </c:barChart>
      <c:catAx>
        <c:axId val="0"/>
        <c:scaling>
          <c:orientation val="minMax"/>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762103586"/>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875270881"/>
        <c:crosses val="max"/>
        <c:crossBetween val="between"/>
      </c:valAx>
      <c:catAx>
        <c:axId val="875270881"/>
        <c:scaling>
          <c:orientation val="minMax"/>
        </c:scaling>
        <c:delete val="1"/>
        <c:axPos val="l"/>
        <c:majorTickMark val="none"/>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76210358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45635049417318"/>
          <c:y val="0.189237269290638"/>
          <c:w val="0.510057530609234"/>
          <c:h val="0.7688859239493"/>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2"/>
              <c:layout>
                <c:manualLayout>
                  <c:x val="-0.0135234455387329"/>
                  <c:y val="0.0135254336959718"/>
                </c:manualLayout>
              </c:layout>
              <c:dLblPos val="bestFit"/>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很积极</c:v>
                </c:pt>
                <c:pt idx="1">
                  <c:v>比较积极</c:v>
                </c:pt>
                <c:pt idx="2">
                  <c:v>积极</c:v>
                </c:pt>
                <c:pt idx="3">
                  <c:v>比较不积极</c:v>
                </c:pt>
                <c:pt idx="4">
                  <c:v>很不积极</c:v>
                </c:pt>
              </c:strCache>
            </c:strRef>
          </c:cat>
          <c:val>
            <c:numRef>
              <c:f>Sheet0!$B$2:$B$6</c:f>
              <c:numCache>
                <c:formatCode>General</c:formatCode>
                <c:ptCount val="5"/>
                <c:pt idx="0">
                  <c:v>53.59</c:v>
                </c:pt>
                <c:pt idx="1">
                  <c:v>30.72</c:v>
                </c:pt>
                <c:pt idx="2">
                  <c:v>14.38</c:v>
                </c:pt>
                <c:pt idx="3">
                  <c:v>1.31</c:v>
                </c:pt>
                <c:pt idx="4">
                  <c:v>0</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Sheet0!$A$3:$A$7</c:f>
              <c:strCache>
                <c:ptCount val="5"/>
                <c:pt idx="0">
                  <c:v>参与社团活动</c:v>
                </c:pt>
                <c:pt idx="1">
                  <c:v>担任学生干部职务</c:v>
                </c:pt>
                <c:pt idx="2">
                  <c:v>校外实践经验</c:v>
                </c:pt>
                <c:pt idx="3">
                  <c:v>考取专业相关的技能证书</c:v>
                </c:pt>
                <c:pt idx="4">
                  <c:v>公共课与专业课的学习</c:v>
                </c:pt>
              </c:strCache>
            </c:strRef>
          </c:cat>
          <c:val>
            <c:numRef>
              <c:f>Sheet0!$B$3:$B$7</c:f>
              <c:numCache>
                <c:formatCode>General</c:formatCode>
                <c:ptCount val="5"/>
                <c:pt idx="0">
                  <c:v>80</c:v>
                </c:pt>
                <c:pt idx="1">
                  <c:v>80</c:v>
                </c:pt>
                <c:pt idx="2">
                  <c:v>80</c:v>
                </c:pt>
                <c:pt idx="3">
                  <c:v>80</c:v>
                </c:pt>
                <c:pt idx="4">
                  <c:v>80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0489980985812491"/>
                  <c:y val="0.00604467805519054"/>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123153429866901"/>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175515577007459"/>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182243674126079"/>
                  <c:y val="0.00604467805519054"/>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205938277022086"/>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Sheet0!$A$3:$A$7</c:f>
              <c:strCache>
                <c:ptCount val="5"/>
                <c:pt idx="0">
                  <c:v>参与社团活动</c:v>
                </c:pt>
                <c:pt idx="1">
                  <c:v>担任学生干部职务</c:v>
                </c:pt>
                <c:pt idx="2">
                  <c:v>校外实践经验</c:v>
                </c:pt>
                <c:pt idx="3">
                  <c:v>考取专业相关的技能证书</c:v>
                </c:pt>
                <c:pt idx="4">
                  <c:v>公共课与专业课的学习</c:v>
                </c:pt>
              </c:strCache>
            </c:strRef>
          </c:cat>
          <c:val>
            <c:numRef>
              <c:f>Sheet0!$C$3:$C$7</c:f>
              <c:numCache>
                <c:formatCode>General</c:formatCode>
                <c:ptCount val="5"/>
                <c:pt idx="0">
                  <c:v>10.46</c:v>
                </c:pt>
                <c:pt idx="1">
                  <c:v>26.14</c:v>
                </c:pt>
                <c:pt idx="2">
                  <c:v>43.79</c:v>
                </c:pt>
                <c:pt idx="3">
                  <c:v>46.41</c:v>
                </c:pt>
                <c:pt idx="4">
                  <c:v>53.59</c:v>
                </c:pt>
              </c:numCache>
            </c:numRef>
          </c:val>
        </c:ser>
        <c:dLbls>
          <c:showLegendKey val="0"/>
          <c:showVal val="1"/>
          <c:showCatName val="0"/>
          <c:showSerName val="0"/>
          <c:showPercent val="1"/>
          <c:showBubbleSize val="1"/>
        </c:dLbls>
        <c:gapWidth val="150"/>
        <c:axId val="241463162"/>
        <c:axId val="391701815"/>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391701815"/>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241463162"/>
        <c:crosses val="max"/>
        <c:crossBetween val="between"/>
      </c:valAx>
      <c:catAx>
        <c:axId val="241463162"/>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391701815"/>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29889669007"/>
          <c:y val="0.0581996896016555"/>
          <c:w val="0.466023069207623"/>
          <c:h val="0.891360579410243"/>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Sheet0!$A$3:$A$7</c:f>
              <c:strCache>
                <c:ptCount val="5"/>
                <c:pt idx="0">
                  <c:v>加强学生人生观和职业道德</c:v>
                </c:pt>
                <c:pt idx="1">
                  <c:v>加强学生创新能力的培养</c:v>
                </c:pt>
                <c:pt idx="2">
                  <c:v>加强专业知识的培养</c:v>
                </c:pt>
                <c:pt idx="3">
                  <c:v>强化专业实践环节，增强学生实践动手能力</c:v>
                </c:pt>
                <c:pt idx="4">
                  <c:v>加强基础知识的培养，拓宽学生知识面</c:v>
                </c:pt>
              </c:strCache>
            </c:strRef>
          </c:cat>
          <c:val>
            <c:numRef>
              <c:f>Sheet0!$B$3:$B$7</c:f>
              <c:numCache>
                <c:formatCode>General</c:formatCode>
                <c:ptCount val="5"/>
                <c:pt idx="0">
                  <c:v>90</c:v>
                </c:pt>
                <c:pt idx="1">
                  <c:v>90</c:v>
                </c:pt>
                <c:pt idx="2">
                  <c:v>90</c:v>
                </c:pt>
                <c:pt idx="3">
                  <c:v>90</c:v>
                </c:pt>
                <c:pt idx="4">
                  <c:v>90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0630942091616249"/>
                  <c:y val="0.00568462679189323"/>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0749063670411985"/>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157879573609911"/>
                  <c:y val="0.00568462679189323"/>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159608182080092"/>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181537556960165"/>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Sheet0!$A$3:$A$7</c:f>
              <c:strCache>
                <c:ptCount val="5"/>
                <c:pt idx="0">
                  <c:v>加强学生人生观和职业道德</c:v>
                </c:pt>
                <c:pt idx="1">
                  <c:v>加强学生创新能力的培养</c:v>
                </c:pt>
                <c:pt idx="2">
                  <c:v>加强专业知识的培养</c:v>
                </c:pt>
                <c:pt idx="3">
                  <c:v>强化专业实践环节，增强学生实践动手能力</c:v>
                </c:pt>
                <c:pt idx="4">
                  <c:v>加强基础知识的培养，拓宽学生知识面</c:v>
                </c:pt>
              </c:strCache>
            </c:strRef>
          </c:cat>
          <c:val>
            <c:numRef>
              <c:f>Sheet0!$C$3:$C$7</c:f>
              <c:numCache>
                <c:formatCode>General</c:formatCode>
                <c:ptCount val="5"/>
                <c:pt idx="0">
                  <c:v>16.34</c:v>
                </c:pt>
                <c:pt idx="1">
                  <c:v>17.65</c:v>
                </c:pt>
                <c:pt idx="2">
                  <c:v>50.98</c:v>
                </c:pt>
                <c:pt idx="3">
                  <c:v>50.98</c:v>
                </c:pt>
                <c:pt idx="4">
                  <c:v>59.48</c:v>
                </c:pt>
              </c:numCache>
            </c:numRef>
          </c:val>
        </c:ser>
        <c:dLbls>
          <c:showLegendKey val="0"/>
          <c:showVal val="1"/>
          <c:showCatName val="0"/>
          <c:showSerName val="0"/>
          <c:showPercent val="1"/>
          <c:showBubbleSize val="1"/>
        </c:dLbls>
        <c:gapWidth val="150"/>
        <c:axId val="308169709"/>
        <c:axId val="886235048"/>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886235048"/>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308169709"/>
        <c:crosses val="max"/>
        <c:crossBetween val="between"/>
      </c:valAx>
      <c:catAx>
        <c:axId val="308169709"/>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886235048"/>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1832341395467"/>
          <c:y val="0.0147404400769066"/>
          <c:w val="0.480308978092947"/>
          <c:h val="0.97415082247383"/>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Sheet0!$A$3:$A$9</c:f>
              <c:strCache>
                <c:ptCount val="7"/>
                <c:pt idx="0">
                  <c:v>对毕业生进行就业教育与指导</c:v>
                </c:pt>
                <c:pt idx="1">
                  <c:v>组织实习实践活动</c:v>
                </c:pt>
                <c:pt idx="2">
                  <c:v>人才培养合作</c:v>
                </c:pt>
                <c:pt idx="3">
                  <c:v>根据用人单位的个性化需求提供相应服务</c:v>
                </c:pt>
                <c:pt idx="4">
                  <c:v>推荐毕业生</c:v>
                </c:pt>
                <c:pt idx="5">
                  <c:v>组织校园招聘会</c:v>
                </c:pt>
                <c:pt idx="6">
                  <c:v>发布招聘信息</c:v>
                </c:pt>
              </c:strCache>
            </c:strRef>
          </c:cat>
          <c:val>
            <c:numRef>
              <c:f>Sheet0!$B$3:$B$9</c:f>
              <c:numCache>
                <c:formatCode>0.00_);[Red]\(0.00\)</c:formatCode>
                <c:ptCount val="7"/>
                <c:pt idx="0">
                  <c:v>70</c:v>
                </c:pt>
                <c:pt idx="1">
                  <c:v>70</c:v>
                </c:pt>
                <c:pt idx="2">
                  <c:v>70</c:v>
                </c:pt>
                <c:pt idx="3">
                  <c:v>70</c:v>
                </c:pt>
                <c:pt idx="4">
                  <c:v>70</c:v>
                </c:pt>
                <c:pt idx="5">
                  <c:v>70</c:v>
                </c:pt>
                <c:pt idx="6">
                  <c:v>70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0387575206380299"/>
                  <c:y val="-0.00214927706135209"/>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0854904155589758"/>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108157268784105"/>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121169721561494"/>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14859381558696"/>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5"/>
              <c:layout>
                <c:manualLayout>
                  <c:x val="0.176017909612425"/>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6"/>
              <c:layout>
                <c:manualLayout>
                  <c:x val="0.187351336224989"/>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Sheet0!$A$3:$A$9</c:f>
              <c:strCache>
                <c:ptCount val="7"/>
                <c:pt idx="0">
                  <c:v>对毕业生进行就业教育与指导</c:v>
                </c:pt>
                <c:pt idx="1">
                  <c:v>组织实习实践活动</c:v>
                </c:pt>
                <c:pt idx="2">
                  <c:v>人才培养合作</c:v>
                </c:pt>
                <c:pt idx="3">
                  <c:v>根据用人单位的个性化需求提供相应服务</c:v>
                </c:pt>
                <c:pt idx="4">
                  <c:v>推荐毕业生</c:v>
                </c:pt>
                <c:pt idx="5">
                  <c:v>组织校园招聘会</c:v>
                </c:pt>
                <c:pt idx="6">
                  <c:v>发布招聘信息</c:v>
                </c:pt>
              </c:strCache>
            </c:strRef>
          </c:cat>
          <c:val>
            <c:numRef>
              <c:f>Sheet0!$C$3:$C$9</c:f>
              <c:numCache>
                <c:formatCode>0.00_);[Red]\(0.00\)</c:formatCode>
                <c:ptCount val="7"/>
                <c:pt idx="0">
                  <c:v>8.5</c:v>
                </c:pt>
                <c:pt idx="1">
                  <c:v>15.69</c:v>
                </c:pt>
                <c:pt idx="2">
                  <c:v>23.53</c:v>
                </c:pt>
                <c:pt idx="3">
                  <c:v>28.1</c:v>
                </c:pt>
                <c:pt idx="4">
                  <c:v>36.6</c:v>
                </c:pt>
                <c:pt idx="5">
                  <c:v>45.75</c:v>
                </c:pt>
                <c:pt idx="6">
                  <c:v>49.02</c:v>
                </c:pt>
              </c:numCache>
            </c:numRef>
          </c:val>
        </c:ser>
        <c:dLbls>
          <c:showLegendKey val="0"/>
          <c:showVal val="1"/>
          <c:showCatName val="0"/>
          <c:showSerName val="0"/>
          <c:showPercent val="1"/>
          <c:showBubbleSize val="1"/>
        </c:dLbls>
        <c:gapWidth val="150"/>
        <c:axId val="394480473"/>
        <c:axId val="858106685"/>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0.00_);[Red]\(0.00\)"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858106685"/>
        <c:scaling>
          <c:orientation val="minMax"/>
        </c:scaling>
        <c:delete val="1"/>
        <c:axPos val="t"/>
        <c:numFmt formatCode="0.00_);[Red]\(0.00\)"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394480473"/>
        <c:crosses val="max"/>
        <c:crossBetween val="between"/>
      </c:valAx>
      <c:catAx>
        <c:axId val="394480473"/>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858106685"/>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44131455399061"/>
          <c:y val="0.0724026779072651"/>
          <c:w val="0.518779342723005"/>
          <c:h val="0.876766674931813"/>
        </c:manualLayout>
      </c:layout>
      <c:pieChart>
        <c:varyColors val="1"/>
        <c:ser>
          <c:idx val="0"/>
          <c:order val="0"/>
          <c:tx>
            <c:strRef>
              <c:f>Sheet0!$B$1</c:f>
              <c:strCache>
                <c:ptCount val="1"/>
                <c:pt idx="0">
                  <c:v>占比</c:v>
                </c:pt>
              </c:strCache>
            </c:strRef>
          </c:tx>
          <c:explosion val="0"/>
          <c:dPt>
            <c:idx val="0"/>
            <c:bubble3D val="0"/>
          </c:dPt>
          <c:dPt>
            <c:idx val="1"/>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Sheet0!$A$3:$A$4</c:f>
              <c:strCache>
                <c:ptCount val="2"/>
                <c:pt idx="0">
                  <c:v>否</c:v>
                </c:pt>
                <c:pt idx="1">
                  <c:v>是</c:v>
                </c:pt>
              </c:strCache>
            </c:strRef>
          </c:cat>
          <c:val>
            <c:numRef>
              <c:f>Sheet0!$B$3:$B$4</c:f>
              <c:numCache>
                <c:formatCode>0.00%</c:formatCode>
                <c:ptCount val="2"/>
                <c:pt idx="0">
                  <c:v>0.617</c:v>
                </c:pt>
                <c:pt idx="1">
                  <c:v>0.383</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073971846536"/>
          <c:y val="0.0142494632051532"/>
          <c:w val="0.587634556996964"/>
          <c:h val="0.976771422994339"/>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Sheet0!$A$2:$A$8</c:f>
              <c:strCache>
                <c:ptCount val="7"/>
                <c:pt idx="0">
                  <c:v>学校提供订单式培养</c:v>
                </c:pt>
                <c:pt idx="1">
                  <c:v>参与学校教育教学改革</c:v>
                </c:pt>
                <c:pt idx="2">
                  <c:v>与学校开展学徒制培养</c:v>
                </c:pt>
                <c:pt idx="3">
                  <c:v>为学校提供师资或培训</c:v>
                </c:pt>
                <c:pt idx="4">
                  <c:v>为学校教师提供实训机会</c:v>
                </c:pt>
                <c:pt idx="5">
                  <c:v>在学校建立实训基地</c:v>
                </c:pt>
                <c:pt idx="6">
                  <c:v>为学生提供实习机会</c:v>
                </c:pt>
              </c:strCache>
            </c:strRef>
          </c:cat>
          <c:val>
            <c:numRef>
              <c:f>Sheet0!$B$2:$B$8</c:f>
              <c:numCache>
                <c:formatCode>General</c:formatCode>
                <c:ptCount val="7"/>
                <c:pt idx="0">
                  <c:v>80</c:v>
                </c:pt>
                <c:pt idx="1">
                  <c:v>80</c:v>
                </c:pt>
                <c:pt idx="2">
                  <c:v>80</c:v>
                </c:pt>
                <c:pt idx="3">
                  <c:v>80</c:v>
                </c:pt>
                <c:pt idx="4">
                  <c:v>80</c:v>
                </c:pt>
                <c:pt idx="5">
                  <c:v>80</c:v>
                </c:pt>
                <c:pt idx="6">
                  <c:v>80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chemeClr val="accent1"/>
            </a:solidFill>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Sheet0!$A$2:$A$8</c:f>
              <c:strCache>
                <c:ptCount val="7"/>
                <c:pt idx="0">
                  <c:v>学校提供订单式培养</c:v>
                </c:pt>
                <c:pt idx="1">
                  <c:v>参与学校教育教学改革</c:v>
                </c:pt>
                <c:pt idx="2">
                  <c:v>与学校开展学徒制培养</c:v>
                </c:pt>
                <c:pt idx="3">
                  <c:v>为学校提供师资或培训</c:v>
                </c:pt>
                <c:pt idx="4">
                  <c:v>为学校教师提供实训机会</c:v>
                </c:pt>
                <c:pt idx="5">
                  <c:v>在学校建立实训基地</c:v>
                </c:pt>
                <c:pt idx="6">
                  <c:v>为学生提供实习机会</c:v>
                </c:pt>
              </c:strCache>
            </c:strRef>
          </c:cat>
          <c:val>
            <c:numRef>
              <c:f>Sheet0!$C$2:$C$8</c:f>
              <c:numCache>
                <c:formatCode>General</c:formatCode>
                <c:ptCount val="7"/>
                <c:pt idx="0">
                  <c:v>7.26</c:v>
                </c:pt>
                <c:pt idx="1">
                  <c:v>8.06</c:v>
                </c:pt>
                <c:pt idx="2">
                  <c:v>15.32</c:v>
                </c:pt>
                <c:pt idx="3">
                  <c:v>23.39</c:v>
                </c:pt>
                <c:pt idx="4">
                  <c:v>29.03</c:v>
                </c:pt>
                <c:pt idx="5">
                  <c:v>33.06</c:v>
                </c:pt>
                <c:pt idx="6">
                  <c:v>65.32</c:v>
                </c:pt>
              </c:numCache>
            </c:numRef>
          </c:val>
        </c:ser>
        <c:dLbls>
          <c:showLegendKey val="0"/>
          <c:showVal val="1"/>
          <c:showCatName val="0"/>
          <c:showSerName val="0"/>
          <c:showPercent val="1"/>
          <c:showBubbleSize val="1"/>
        </c:dLbls>
        <c:gapWidth val="150"/>
        <c:overlap val="0"/>
        <c:axId val="704165117"/>
        <c:axId val="288403169"/>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288403169"/>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704165117"/>
        <c:crosses val="max"/>
        <c:crossBetween val="between"/>
      </c:valAx>
      <c:catAx>
        <c:axId val="704165117"/>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288403169"/>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87642539287955"/>
          <c:y val="0.161437535653166"/>
          <c:w val="0.430199653116946"/>
          <c:h val="0.827760085546754"/>
        </c:manualLayout>
      </c:layout>
      <c:pieChart>
        <c:varyColors val="1"/>
        <c:ser>
          <c:idx val="0"/>
          <c:order val="0"/>
          <c:tx>
            <c:strRef>
              <c:f>Sheet0!$B$1</c:f>
              <c:strCache>
                <c:ptCount val="1"/>
                <c:pt idx="0">
                  <c:v>占比</c:v>
                </c:pt>
              </c:strCache>
            </c:strRef>
          </c:tx>
          <c:explosion val="0"/>
          <c:dPt>
            <c:idx val="0"/>
            <c:bubble3D val="0"/>
          </c:dPt>
          <c:dPt>
            <c:idx val="1"/>
            <c:bubble3D val="0"/>
          </c:dPt>
          <c:dPt>
            <c:idx val="2"/>
            <c:bubble3D val="0"/>
          </c:dPt>
          <c:dPt>
            <c:idx val="3"/>
            <c:bubble3D val="0"/>
          </c:dPt>
          <c:dPt>
            <c:idx val="4"/>
            <c:bubble3D val="0"/>
          </c:dPt>
          <c:dLbls>
            <c:dLbl>
              <c:idx val="4"/>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outEnd"/>
            <c:showLegendKey val="0"/>
            <c:showVal val="0"/>
            <c:showCatName val="1"/>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很满意</c:v>
                </c:pt>
                <c:pt idx="1">
                  <c:v>比较满意</c:v>
                </c:pt>
                <c:pt idx="2">
                  <c:v>基本满意</c:v>
                </c:pt>
                <c:pt idx="3">
                  <c:v>比较不满意</c:v>
                </c:pt>
                <c:pt idx="4">
                  <c:v>很不满意</c:v>
                </c:pt>
              </c:strCache>
            </c:strRef>
          </c:cat>
          <c:val>
            <c:numRef>
              <c:f>Sheet0!$B$2:$B$6</c:f>
              <c:numCache>
                <c:formatCode>0.00_);[Red]\(0.00\)</c:formatCode>
                <c:ptCount val="5"/>
                <c:pt idx="0">
                  <c:v>45.1</c:v>
                </c:pt>
                <c:pt idx="1">
                  <c:v>36.6</c:v>
                </c:pt>
                <c:pt idx="2">
                  <c:v>16.34</c:v>
                </c:pt>
                <c:pt idx="3">
                  <c:v>1.96</c:v>
                </c:pt>
                <c:pt idx="4">
                  <c:v>0</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552219105758"/>
          <c:y val="0.0532687651331719"/>
          <c:w val="0.690150140240884"/>
          <c:h val="0.893462469733656"/>
        </c:manualLayout>
      </c:layout>
      <c:barChart>
        <c:barDir val="bar"/>
        <c:grouping val="none"/>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Sheet0!$A$3:$A$7</c:f>
              <c:strCache>
                <c:ptCount val="5"/>
                <c:pt idx="0">
                  <c:v>增加招聘场次</c:v>
                </c:pt>
                <c:pt idx="1">
                  <c:v>拓宽服务项目</c:v>
                </c:pt>
                <c:pt idx="2">
                  <c:v>改进服务态度</c:v>
                </c:pt>
                <c:pt idx="3">
                  <c:v>加强校企沟通</c:v>
                </c:pt>
                <c:pt idx="4">
                  <c:v>已较完善</c:v>
                </c:pt>
              </c:strCache>
            </c:strRef>
          </c:cat>
          <c:val>
            <c:numRef>
              <c:f>Sheet0!$B$3:$B$7</c:f>
              <c:numCache>
                <c:formatCode>General</c:formatCode>
                <c:ptCount val="5"/>
                <c:pt idx="0">
                  <c:v>70</c:v>
                </c:pt>
                <c:pt idx="1">
                  <c:v>70</c:v>
                </c:pt>
                <c:pt idx="2">
                  <c:v>70</c:v>
                </c:pt>
                <c:pt idx="3">
                  <c:v>70</c:v>
                </c:pt>
                <c:pt idx="4">
                  <c:v>70</c:v>
                </c:pt>
              </c:numCache>
            </c:numRef>
          </c:val>
        </c:ser>
        <c:dLbls>
          <c:showLegendKey val="0"/>
          <c:showVal val="1"/>
          <c:showCatName val="0"/>
          <c:showSerName val="0"/>
          <c:showPercent val="1"/>
          <c:showBubbleSize val="1"/>
        </c:dLbls>
        <c:gapWidth val="150"/>
        <c:axId val="0"/>
        <c:axId val="1"/>
      </c:barChart>
      <c:barChart>
        <c:barDir val="bar"/>
        <c:grouping val="none"/>
        <c:varyColors val="0"/>
        <c:ser>
          <c:idx val="1"/>
          <c:order val="1"/>
          <c:tx>
            <c:strRef>
              <c:f>Sheet0!$C$1</c:f>
              <c:strCache>
                <c:ptCount val="1"/>
                <c:pt idx="0">
                  <c:v>占比</c:v>
                </c:pt>
              </c:strCache>
            </c:strRef>
          </c:tx>
          <c:spPr>
            <a:solidFill>
              <a:schemeClr val="accent1"/>
            </a:solidFill>
          </c:spPr>
          <c:invertIfNegative val="0"/>
          <c:dLbls>
            <c:dLbl>
              <c:idx val="0"/>
              <c:layout>
                <c:manualLayout>
                  <c:x val="0.0594982078853047"/>
                  <c:y val="-0.00267249757045675"/>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1"/>
              <c:layout>
                <c:manualLayout>
                  <c:x val="0.0959139784946237"/>
                  <c:y val="0.00291545189504373"/>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2"/>
              <c:layout>
                <c:manualLayout>
                  <c:x val="0.115698924731183"/>
                  <c:y val="0.00291545189504373"/>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3"/>
              <c:layout>
                <c:manualLayout>
                  <c:x val="0.124014336917563"/>
                  <c:y val="0.00267249757045675"/>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dLbl>
              <c:idx val="4"/>
              <c:layout>
                <c:manualLayout>
                  <c:x val="0.271254480286738"/>
                  <c:y val="0"/>
                </c:manualLayout>
              </c:layout>
              <c:dLblPos val="ctr"/>
              <c:showLegendKey val="0"/>
              <c:showVal val="1"/>
              <c:showCatName val="0"/>
              <c:showSerName val="0"/>
              <c:showPercent val="1"/>
              <c:showBubbleSize val="1"/>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Sheet0!$A$3:$A$7</c:f>
              <c:strCache>
                <c:ptCount val="5"/>
                <c:pt idx="0">
                  <c:v>增加招聘场次</c:v>
                </c:pt>
                <c:pt idx="1">
                  <c:v>拓宽服务项目</c:v>
                </c:pt>
                <c:pt idx="2">
                  <c:v>改进服务态度</c:v>
                </c:pt>
                <c:pt idx="3">
                  <c:v>加强校企沟通</c:v>
                </c:pt>
                <c:pt idx="4">
                  <c:v>已较完善</c:v>
                </c:pt>
              </c:strCache>
            </c:strRef>
          </c:cat>
          <c:val>
            <c:numRef>
              <c:f>Sheet0!$C$3:$C$7</c:f>
              <c:numCache>
                <c:formatCode>General</c:formatCode>
                <c:ptCount val="5"/>
                <c:pt idx="0">
                  <c:v>7.19</c:v>
                </c:pt>
                <c:pt idx="1">
                  <c:v>11.76</c:v>
                </c:pt>
                <c:pt idx="2">
                  <c:v>15.69</c:v>
                </c:pt>
                <c:pt idx="3">
                  <c:v>16.99</c:v>
                </c:pt>
                <c:pt idx="4">
                  <c:v>48.37</c:v>
                </c:pt>
              </c:numCache>
            </c:numRef>
          </c:val>
        </c:ser>
        <c:dLbls>
          <c:showLegendKey val="0"/>
          <c:showVal val="1"/>
          <c:showCatName val="0"/>
          <c:showSerName val="0"/>
          <c:showPercent val="1"/>
          <c:showBubbleSize val="1"/>
        </c:dLbls>
        <c:gapWidth val="150"/>
        <c:axId val="875715327"/>
        <c:axId val="788995985"/>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0"/>
        <c:crosses val="autoZero"/>
        <c:crossBetween val="between"/>
      </c:valAx>
      <c:valAx>
        <c:axId val="788995985"/>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875715327"/>
        <c:crosses val="max"/>
        <c:crossBetween val="between"/>
      </c:valAx>
      <c:catAx>
        <c:axId val="875715327"/>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宋体" panose="02010600030101010101" charset="-122"/>
                <a:cs typeface="+mn-cs"/>
              </a:defRPr>
            </a:pPr>
          </a:p>
        </c:txPr>
        <c:crossAx val="788995985"/>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u="none" strike="noStrike" kern="1200" cap="none" spc="0" normalizeH="0">
          <a:solidFill>
            <a:schemeClr val="tx1"/>
          </a:solidFill>
          <a:uFill>
            <a:solidFill>
              <a:schemeClr val="tx1"/>
            </a:solidFill>
          </a:uFill>
          <a:latin typeface="Times New Roman" panose="02020603050405020304" charset="0"/>
          <a:ea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563572210731"/>
          <c:y val="0.0103684094418707"/>
          <c:w val="0.500669181165592"/>
          <c:h val="0.983013456871829"/>
        </c:manualLayout>
      </c:layout>
      <c:barChart>
        <c:barDir val="bar"/>
        <c:grouping val="clustered"/>
        <c:varyColors val="0"/>
        <c:ser>
          <c:idx val="0"/>
          <c:order val="0"/>
          <c:tx>
            <c:strRef>
              <c:f>Sheet0!$B$1</c:f>
              <c:strCache>
                <c:ptCount val="1"/>
                <c:pt idx="0">
                  <c:v>辅助</c:v>
                </c:pt>
              </c:strCache>
            </c:strRef>
          </c:tx>
          <c:spPr>
            <a:solidFill>
              <a:schemeClr val="bg1"/>
            </a:solidFill>
            <a:ln>
              <a:solidFill>
                <a:srgbClr val="4F80BD"/>
              </a:solidFill>
            </a:ln>
          </c:spPr>
          <c:invertIfNegative val="0"/>
          <c:dLbls>
            <c:delete val="1"/>
          </c:dLbls>
          <c:cat>
            <c:strRef>
              <c:f>Sheet0!$A$2:$A$7</c:f>
              <c:strCache>
                <c:ptCount val="6"/>
                <c:pt idx="0">
                  <c:v>获得国外发展机会</c:v>
                </c:pt>
                <c:pt idx="1">
                  <c:v>提高语言水平</c:v>
                </c:pt>
                <c:pt idx="2">
                  <c:v>受周围环境（家人安排、留学热潮）影响</c:v>
                </c:pt>
                <c:pt idx="3">
                  <c:v>拓展视野，体验国外风俗文化</c:v>
                </c:pt>
                <c:pt idx="4">
                  <c:v>增加择业资本，增强就业竞争力</c:v>
                </c:pt>
                <c:pt idx="5">
                  <c:v>获得更好的教育教学条件、科研氛围</c:v>
                </c:pt>
              </c:strCache>
            </c:strRef>
          </c:cat>
          <c:val>
            <c:numRef>
              <c:f>Sheet0!$B$2:$B$7</c:f>
              <c:numCache>
                <c:formatCode>General</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rgbClr val="4F80BD"/>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Sheet0!$A$2:$A$7</c:f>
              <c:strCache>
                <c:ptCount val="6"/>
                <c:pt idx="0">
                  <c:v>获得国外发展机会</c:v>
                </c:pt>
                <c:pt idx="1">
                  <c:v>提高语言水平</c:v>
                </c:pt>
                <c:pt idx="2">
                  <c:v>受周围环境（家人安排、留学热潮）影响</c:v>
                </c:pt>
                <c:pt idx="3">
                  <c:v>拓展视野，体验国外风俗文化</c:v>
                </c:pt>
                <c:pt idx="4">
                  <c:v>增加择业资本，增强就业竞争力</c:v>
                </c:pt>
                <c:pt idx="5">
                  <c:v>获得更好的教育教学条件、科研氛围</c:v>
                </c:pt>
              </c:strCache>
            </c:strRef>
          </c:cat>
          <c:val>
            <c:numRef>
              <c:f>Sheet0!$C$2:$C$7</c:f>
              <c:numCache>
                <c:formatCode>General</c:formatCode>
                <c:ptCount val="6"/>
                <c:pt idx="0">
                  <c:v>4.76</c:v>
                </c:pt>
                <c:pt idx="1">
                  <c:v>4.76</c:v>
                </c:pt>
                <c:pt idx="2">
                  <c:v>4.76</c:v>
                </c:pt>
                <c:pt idx="3">
                  <c:v>9.52</c:v>
                </c:pt>
                <c:pt idx="4">
                  <c:v>28.57</c:v>
                </c:pt>
                <c:pt idx="5">
                  <c:v>47.62</c:v>
                </c:pt>
              </c:numCache>
            </c:numRef>
          </c:val>
        </c:ser>
        <c:dLbls>
          <c:showLegendKey val="0"/>
          <c:showVal val="1"/>
          <c:showCatName val="0"/>
          <c:showSerName val="0"/>
          <c:showPercent val="0"/>
          <c:showBubbleSize val="0"/>
        </c:dLbls>
        <c:gapWidth val="150"/>
        <c:overlap val="0"/>
        <c:axId val="858266153"/>
        <c:axId val="251730107"/>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
        <c:crosses val="autoZero"/>
        <c:auto val="0"/>
        <c:lblAlgn val="ctr"/>
        <c:lblOffset val="100"/>
        <c:noMultiLvlLbl val="0"/>
      </c:catAx>
      <c:valAx>
        <c:axId val="1"/>
        <c:scaling>
          <c:orientation val="minMax"/>
          <c:max val="110"/>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0"/>
        <c:crosses val="autoZero"/>
        <c:crossBetween val="between"/>
        <c:majorUnit val="20"/>
      </c:valAx>
      <c:valAx>
        <c:axId val="251730107"/>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58266153"/>
        <c:crosses val="max"/>
        <c:crossBetween val="between"/>
      </c:valAx>
      <c:catAx>
        <c:axId val="858266153"/>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51730107"/>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549250220523"/>
          <c:y val="0.00717875089734386"/>
          <c:w val="0.635107321376066"/>
          <c:h val="0.985642498205312"/>
        </c:manualLayout>
      </c:layout>
      <c:barChart>
        <c:barDir val="bar"/>
        <c:grouping val="clustered"/>
        <c:varyColors val="0"/>
        <c:ser>
          <c:idx val="0"/>
          <c:order val="0"/>
          <c:tx>
            <c:strRef>
              <c:f>Sheet0!$B$1</c:f>
              <c:strCache>
                <c:ptCount val="1"/>
                <c:pt idx="0">
                  <c:v>辅助</c:v>
                </c:pt>
              </c:strCache>
            </c:strRef>
          </c:tx>
          <c:spPr>
            <a:noFill/>
            <a:ln>
              <a:solidFill>
                <a:schemeClr val="accent1"/>
              </a:solidFill>
            </a:ln>
          </c:spPr>
          <c:invertIfNegative val="0"/>
          <c:dLbls>
            <c:delete val="1"/>
          </c:dLbls>
          <c:cat>
            <c:strRef>
              <c:f>Sheet0!$A$2:$A$7</c:f>
              <c:strCache>
                <c:ptCount val="6"/>
                <c:pt idx="0">
                  <c:v>其他</c:v>
                </c:pt>
                <c:pt idx="1">
                  <c:v>受他人邀请创业</c:v>
                </c:pt>
                <c:pt idx="2">
                  <c:v>有好的创业项目</c:v>
                </c:pt>
                <c:pt idx="3">
                  <c:v>未来收入好</c:v>
                </c:pt>
                <c:pt idx="4">
                  <c:v>未找到合适工作</c:v>
                </c:pt>
                <c:pt idx="5">
                  <c:v>理想就是成为创业者</c:v>
                </c:pt>
              </c:strCache>
            </c:strRef>
          </c:cat>
          <c:val>
            <c:numRef>
              <c:f>Sheet0!$B$2:$B$7</c:f>
              <c:numCache>
                <c:formatCode>General</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gapWidth val="150"/>
        <c:overlap val="0"/>
        <c:axId val="0"/>
        <c:axId val="1"/>
      </c:barChart>
      <c:barChart>
        <c:barDir val="bar"/>
        <c:grouping val="clustered"/>
        <c:varyColors val="0"/>
        <c:ser>
          <c:idx val="1"/>
          <c:order val="1"/>
          <c:tx>
            <c:strRef>
              <c:f>Sheet0!$C$1</c:f>
              <c:strCache>
                <c:ptCount val="1"/>
                <c:pt idx="0">
                  <c:v>占比</c:v>
                </c:pt>
              </c:strCache>
            </c:strRef>
          </c:tx>
          <c:spPr>
            <a:solidFill>
              <a:srgbClr val="4F80BD"/>
            </a:solidFill>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chemeClr val="tx1"/>
                    </a:solidFill>
                    <a:uFill>
                      <a:solidFill>
                        <a:schemeClr val="tx1"/>
                      </a:solidFill>
                    </a:uFill>
                    <a:latin typeface="Times New Roman" panose="02020603050405020304" charset="0"/>
                    <a:ea typeface="+mn-ea"/>
                    <a:cs typeface="+mn-cs"/>
                  </a:defRPr>
                </a:pPr>
              </a:p>
            </c:txPr>
            <c:dLblPos val="outEnd"/>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其他</c:v>
                </c:pt>
                <c:pt idx="1">
                  <c:v>受他人邀请创业</c:v>
                </c:pt>
                <c:pt idx="2">
                  <c:v>有好的创业项目</c:v>
                </c:pt>
                <c:pt idx="3">
                  <c:v>未来收入好</c:v>
                </c:pt>
                <c:pt idx="4">
                  <c:v>未找到合适工作</c:v>
                </c:pt>
                <c:pt idx="5">
                  <c:v>理想就是成为创业者</c:v>
                </c:pt>
              </c:strCache>
            </c:strRef>
          </c:cat>
          <c:val>
            <c:numRef>
              <c:f>Sheet0!$C$2:$C$7</c:f>
              <c:numCache>
                <c:formatCode>0.00_);[Red]\(0.00\)</c:formatCode>
                <c:ptCount val="6"/>
                <c:pt idx="0">
                  <c:v>4.76</c:v>
                </c:pt>
                <c:pt idx="1">
                  <c:v>9.52</c:v>
                </c:pt>
                <c:pt idx="2">
                  <c:v>14.29</c:v>
                </c:pt>
                <c:pt idx="3">
                  <c:v>14.29</c:v>
                </c:pt>
                <c:pt idx="4">
                  <c:v>19.05</c:v>
                </c:pt>
                <c:pt idx="5">
                  <c:v>38.1</c:v>
                </c:pt>
              </c:numCache>
            </c:numRef>
          </c:val>
        </c:ser>
        <c:dLbls>
          <c:showLegendKey val="0"/>
          <c:showVal val="1"/>
          <c:showCatName val="0"/>
          <c:showSerName val="0"/>
          <c:showPercent val="1"/>
          <c:showBubbleSize val="1"/>
        </c:dLbls>
        <c:gapWidth val="150"/>
        <c:overlap val="0"/>
        <c:axId val="449020963"/>
        <c:axId val="172234235"/>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10"/>
          <c:min val="0"/>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valAx>
        <c:axId val="172234235"/>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49020963"/>
        <c:crosses val="max"/>
        <c:crossBetween val="between"/>
      </c:valAx>
      <c:catAx>
        <c:axId val="449020963"/>
        <c:scaling>
          <c:orientation val="minMax"/>
        </c:scaling>
        <c:delete val="1"/>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2234235"/>
        <c:crosses val="autoZero"/>
        <c:auto val="1"/>
        <c:lblAlgn val="ctr"/>
        <c:lblOffset val="100"/>
        <c:noMultiLvlLbl val="0"/>
      </c:cat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23">
    <a:dk1>
      <a:srgbClr val="000000"/>
    </a:dk1>
    <a:lt1>
      <a:srgbClr val="FFFFFF"/>
    </a:lt1>
    <a:dk2>
      <a:srgbClr val="1F1F1F"/>
    </a:dk2>
    <a:lt2>
      <a:srgbClr val="C1D7EB"/>
    </a:lt2>
    <a:accent1>
      <a:srgbClr val="82C8FE"/>
    </a:accent1>
    <a:accent2>
      <a:srgbClr val="5EB0F6"/>
    </a:accent2>
    <a:accent3>
      <a:srgbClr val="2181F7"/>
    </a:accent3>
    <a:accent4>
      <a:srgbClr val="0E59CA"/>
    </a:accent4>
    <a:accent5>
      <a:srgbClr val="033890"/>
    </a:accent5>
    <a:accent6>
      <a:srgbClr val="032962"/>
    </a:accent6>
    <a:hlink>
      <a:srgbClr val="866054"/>
    </a:hlink>
    <a:folHlink>
      <a:srgbClr val="422F2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23">
    <a:dk1>
      <a:srgbClr val="000000"/>
    </a:dk1>
    <a:lt1>
      <a:srgbClr val="FFFFFF"/>
    </a:lt1>
    <a:dk2>
      <a:srgbClr val="1F1F1F"/>
    </a:dk2>
    <a:lt2>
      <a:srgbClr val="C1D7EB"/>
    </a:lt2>
    <a:accent1>
      <a:srgbClr val="82C8FE"/>
    </a:accent1>
    <a:accent2>
      <a:srgbClr val="5EB0F6"/>
    </a:accent2>
    <a:accent3>
      <a:srgbClr val="2181F7"/>
    </a:accent3>
    <a:accent4>
      <a:srgbClr val="0E59CA"/>
    </a:accent4>
    <a:accent5>
      <a:srgbClr val="033890"/>
    </a:accent5>
    <a:accent6>
      <a:srgbClr val="032962"/>
    </a:accent6>
    <a:hlink>
      <a:srgbClr val="866054"/>
    </a:hlink>
    <a:folHlink>
      <a:srgbClr val="422F2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135</Pages>
  <Words>51548</Words>
  <Characters>87620</Characters>
  <TotalTime>20</TotalTime>
  <ScaleCrop>false</ScaleCrop>
  <LinksUpToDate>false</LinksUpToDate>
  <CharactersWithSpaces>89887</CharactersWithSpaces>
  <Application>WPS Office_12.1.0.16417_F1E327BC-269C-435d-A152-05C5408002CA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2023-11-30T08:33:00Z</dcterms:created>
  <dc:creator>Apache POI</dc:creator>
  <cp:lastModifiedBy>Alive</cp:lastModifiedBy>
  <dcterms:modified xsi:type="dcterms:W3CDTF">2024-03-22T07:58:42Z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035B637779DC4DE986794B3DE12580B6_13</vt:lpwstr>
  </property>
</Properties>
</file>